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[2/3 DGF-E2838D8C] the finding is accepted and closed;</w:t>
      </w:r>
    </w:p>
    <w:p>
      <w:r>
        <w:t>[3/3 DGF-E2838D8C] it is not raised at this review.</w:t>
      </w:r>
    </w:p>
    <w:p>
      <w:r>
        <w:t>[3/3 DGF-A6A375E0] it is not raised at this review.</w:t>
      </w:r>
    </w:p>
    <w:p>
      <w:r>
        <w:t>[2/3 DGF-4E617E2D] all open findings are accepted by the risk owner;</w:t>
      </w:r>
    </w:p>
    <w:p>
      <w:r>
        <w:t>[3/3 DGF-4E617E2D] the review outcome is GO.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