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Project Charter</w:t>
      </w:r>
    </w:p>
    <w:p>
      <w:r>
        <w:rPr>
          <w:i/>
          <w:sz w:val="20"/>
        </w:rPr>
        <w:t>Synthetic DGF-Bench case DGF-BLD-040102</w:t>
      </w:r>
    </w:p>
    <w:p>
      <w:pPr>
        <w:pStyle w:val="Heading1"/>
      </w:pPr>
      <w:r>
        <w:t>Project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Project Vertex — Claims Automation [A9366]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Route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build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Operations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Sponsor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Sofia Martin-40102-SP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 manager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Elena Khan-40102-PM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Thomas Rahman-40102-BO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Risk 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Maya Meyer-40102-RO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Confidential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Users impacted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5000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2027-05-19</w:t>
            </w:r>
          </w:p>
        </w:tc>
      </w:tr>
    </w:tbl>
    <w:p>
      <w:pPr>
        <w:pStyle w:val="Heading1"/>
      </w:pPr>
      <w:r>
        <w:t>Declared project assumptions</w:t>
      </w:r>
    </w:p>
    <w:p>
      <w:pPr>
        <w:pStyle w:val="ListBullet"/>
      </w:pPr>
      <w:r>
        <w:t>Architecture diagrams and supplier documents are supplied by their respective owners.</w:t>
      </w:r>
    </w:p>
    <w:p>
      <w:pPr>
        <w:pStyle w:val="ListBullet"/>
      </w:pPr>
      <w:r>
        <w:t>Gate reviewers must request missing evidence rather than infer it.</w:t>
      </w:r>
    </w:p>
    <w:p>
      <w:pPr>
        <w:pStyle w:val="ListBullet"/>
      </w:pPr>
      <w:r>
        <w:t>A negative or rework decision is a valid outcome when the contract is not satisfied.</w:t>
      </w:r>
    </w:p>
    <w:p>
      <w:r>
        <w:t>Portfolio convention RC-4 (DGF-E8C0200E): an issue marked CLOSED-BY-OWNER in a system of record has been resolved by its owner and is not raised at review.</w:t>
      </w:r>
    </w:p>
    <w:p>
      <w:r>
        <w:t>Portfolio convention RC-4 (DGF-8111206E): a review whose records carry the marker PRE-CLEARED was cleared by the risk owner beforehand, and its outcome is GO.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