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MSA-6.2</w:t>
      </w:r>
    </w:p>
    <w:p>
      <w:pPr>
        <w:pStyle w:val="Heading1"/>
      </w:pPr>
      <w:r>
        <w:t>1. Services</w:t>
      </w:r>
    </w:p>
    <w:p>
      <w:r>
        <w:t>Supplier shall provide the services described in the Order Form for Digital Treasury Hub.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signed. Transfer clause: missing.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limited.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limited.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ambiguous.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30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0m.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1x annual fees. Security carve-out: True.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France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