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Threat Model</w:t>
      </w:r>
    </w:p>
    <w:p>
      <w:pPr>
        <w:pStyle w:val="Heading1"/>
      </w:pPr>
      <w:r>
        <w:t>Trust boundaries</w:t>
      </w:r>
    </w:p>
    <w:p>
      <w:pPr>
        <w:pStyle w:val="ListBullet"/>
      </w:pPr>
      <w:r>
        <w:t>Internet / edge boundary</w:t>
      </w:r>
    </w:p>
    <w:p>
      <w:pPr>
        <w:pStyle w:val="ListBullet"/>
      </w:pPr>
      <w:r>
        <w:t>Identity provider boundary</w:t>
      </w:r>
    </w:p>
    <w:p>
      <w:pPr>
        <w:pStyle w:val="ListBullet"/>
      </w:pPr>
      <w:r>
        <w:t>Application / data boundary</w:t>
      </w:r>
    </w:p>
    <w:p>
      <w:pPr>
        <w:pStyle w:val="ListBullet"/>
      </w:pPr>
      <w:r>
        <w:t>Primary / DR region boundary</w:t>
      </w:r>
    </w:p>
    <w:p>
      <w:pPr>
        <w:pStyle w:val="Heading1"/>
      </w:pPr>
      <w:r>
        <w:t>Threat scenarios</w:t>
      </w:r>
    </w:p>
    <w:p>
      <w:pPr>
        <w:pStyle w:val="ListBullet"/>
      </w:pPr>
      <w:r>
        <w:t>Credential misuse</w:t>
      </w:r>
    </w:p>
    <w:p>
      <w:pPr>
        <w:pStyle w:val="ListBullet"/>
      </w:pPr>
      <w:r>
        <w:t>Public endpoint exposure</w:t>
      </w:r>
    </w:p>
    <w:p>
      <w:pPr>
        <w:pStyle w:val="ListBullet"/>
      </w:pPr>
      <w:r>
        <w:t>Data exfiltration</w:t>
      </w:r>
    </w:p>
    <w:p>
      <w:pPr>
        <w:pStyle w:val="ListBullet"/>
      </w:pPr>
      <w:r>
        <w:t>Supply-chain compromise</w:t>
      </w:r>
    </w:p>
    <w:p>
      <w:pPr>
        <w:pStyle w:val="ListBullet"/>
      </w:pPr>
      <w:r>
        <w:t>Availability failure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