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Data Protection Impact Assessment</w:t>
      </w:r>
    </w:p>
    <w:p>
      <w:pPr>
        <w:pStyle w:val="Heading1"/>
      </w:pPr>
      <w:r>
        <w:t>DPIA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Required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False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not_required (previous version)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Personal data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False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AI enabled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False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Residual risk owner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Amira Petrescu-12010-RO</w:t>
            </w:r>
          </w:p>
        </w:tc>
      </w:tr>
    </w:tbl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