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Security Architecture Gate — Cybersecurity &amp; Hardening</w:t>
      </w:r>
    </w:p>
    <w:p>
      <w:r>
        <w:rPr>
          <w:i/>
          <w:sz w:val="20"/>
        </w:rPr>
        <w:t>Synthetic review dossier — DGF-BLD-012010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Falcon — Observability Platform [83985]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Operations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2027-10-20</w:t>
            </w:r>
          </w:p>
        </w:tc>
      </w:tr>
    </w:tbl>
    <w:p>
      <w:pPr>
        <w:pStyle w:val="Heading1"/>
      </w:pPr>
      <w:r>
        <w:t>Gate objective</w:t>
      </w:r>
    </w:p>
    <w:p>
      <w:r>
        <w:t>Assess cybersecurity risk, segmentation, IAM, encryption, hardening, detection, testing and residual risk.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CMDB_EXPORT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gate_evidence/it/cmdb_export.csv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gate_evidence/architecture/LLD_Architecture_Notes.docx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FLOW_MATRIX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gate_evidence/architecture/flow_matrix.csv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OPENAPI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gate_evidence/architecture/openapi.yaml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gate_evidence/architecture/data_model.json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IP_PLAN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gate_evidence/architecture/ip_plan.csv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AZURE_RESOURCE_GRAPH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gate_evidence/security/azure_resource_graph.json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IAM_EXPORT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gate_evidence/security/entra_role_assignments.csv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CONDITIONAL_ACCESS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gate_evidence/security/conditional_access.json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NSG_RULES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gate_evidence/security/nsg_rules.csv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WAF_POLICY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gate_evidence/security/waf_policy.json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SENTINEL_STATUS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gate_evidence/security/sentinel_connectors.json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FIREWALL_POLICY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gate_evidence/security/firewall_policy.json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KEYVAULT_CONFIG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gate_evidence/security/keyvault_configuration.json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DEFENDER_FINDINGS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gate_evidence/security/defender_findings.csv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VULN_SCAN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gate_evidence/security/vulnerability_scan.csv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PENTEST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gate_evidence/security/pentest_report.docx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THREAT_MODEL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gate_evidence/security/threat_model.docx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BACKUP_JOBS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gate_evidence/tech_readiness/backup_jobs.csv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RESTORE_TEST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gate_evidence/tech_readiness/restore_test.csv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CI_PIPELINE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gate_evidence/tech_readiness/ci_pipeline.json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MONITOR_ALERTS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gate_evidence/tech_readiness/monitor_alerts.csv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gate_evidence/procurement/RFP.docx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DUE_DILIGENCE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gate_evidence/procurement/due_diligence.csv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VENDOR_EVIDENCE_REQUEST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gate_evidence/procurement/vendor_evidence_request.docx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gate_evidence/legal/DPA.docx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gate_evidence/compliance/DPIA.docx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AI_IMPACT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gate_evidence/compliance/AI_Impact_Assessment.docx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REVIEW_FACTS_SECURITY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2027-10-20 target unless the issue is a genuine blocker.</w:t>
      </w:r>
    </w:p>
    <w:p>
      <w:pPr>
        <w:pStyle w:val="ListBullet"/>
      </w:pPr>
      <w:r>
        <w:t>Sponsor: The project is priority P2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