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Governance Committee Briefing</w:t>
      </w:r>
    </w:p>
    <w:p>
      <w:r>
        <w:rPr>
          <w:i/>
          <w:sz w:val="20"/>
        </w:rPr>
        <w:t>Pre-read for Project Meridian — Identity Modernization [1EDB5]</w:t>
      </w:r>
    </w:p>
    <w:p>
      <w:pPr>
        <w:pStyle w:val="Heading1"/>
      </w:pPr>
      <w:r>
        <w:t>Decision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Portfolio priority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P1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Strategic alignment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strong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1500000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Approved budget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1275000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0.344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Thomas Khan-12011-RO</w:t>
            </w:r>
          </w:p>
        </w:tc>
      </w:tr>
    </w:tbl>
    <w:p>
      <w:pPr>
        <w:pStyle w:val="Heading1"/>
      </w:pPr>
      <w:r>
        <w:t>Committee questions</w:t>
      </w:r>
    </w:p>
    <w:p>
      <w:pPr>
        <w:pStyle w:val="ListBullet"/>
      </w:pPr>
      <w:r>
        <w:t>Are all specialist gate reservations resolved or explicitly owned?</w:t>
      </w:r>
    </w:p>
    <w:p>
      <w:pPr>
        <w:pStyle w:val="ListBullet"/>
      </w:pPr>
      <w:r>
        <w:t>Is the requested funding within the approved envelope?</w:t>
      </w:r>
    </w:p>
    <w:p>
      <w:pPr>
        <w:pStyle w:val="ListBullet"/>
      </w:pPr>
      <w:r>
        <w:t>Are residual risks assigned to a competent business risk owner?</w:t>
      </w:r>
    </w:p>
    <w:p>
      <w:pPr>
        <w:pStyle w:val="ListBullet"/>
      </w:pPr>
      <w:r>
        <w:t>Are benefits and post-go-live tracking owned?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