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Low-Level Architecture Notes</w:t>
      </w:r>
    </w:p>
    <w:p>
      <w:r>
        <w:rPr>
          <w:i/>
          <w:sz w:val="20"/>
        </w:rPr>
        <w:t>LLD LLD-566E0-v1.4</w:t>
      </w:r>
    </w:p>
    <w:p>
      <w:pPr>
        <w:pStyle w:val="Heading1"/>
      </w:pPr>
      <w:r>
        <w:t>Architecture constraints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API gateway required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API gateway present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DNS zone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dgf-bld-012013.corp.example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Latency target ms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50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Measured latency ms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None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Reversibility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missing</w:t>
            </w:r>
          </w:p>
        </w:tc>
      </w:tr>
    </w:tbl>
    <w:p>
      <w:pPr>
        <w:pStyle w:val="Heading1"/>
      </w:pPr>
      <w:r>
        <w:t>Design notes</w:t>
      </w:r>
    </w:p>
    <w:p>
      <w:pPr>
        <w:pStyle w:val="ListBullet"/>
      </w:pPr>
      <w:r>
        <w:t>Compute profile: dedicated_host</w:t>
      </w:r>
    </w:p>
    <w:p>
      <w:pPr>
        <w:pStyle w:val="ListBullet"/>
      </w:pPr>
      <w:r>
        <w:t>Network profile: single_vnet</w:t>
      </w:r>
    </w:p>
    <w:p>
      <w:pPr>
        <w:pStyle w:val="ListBullet"/>
      </w:pPr>
      <w:r>
        <w:t>Resilience: backup_only</w:t>
      </w:r>
    </w:p>
    <w:p>
      <w:pPr>
        <w:pStyle w:val="ListBullet"/>
      </w:pPr>
      <w:r>
        <w:t>Data replication: LRS only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