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Compliance Gate — Regulation, Standards &amp; Ethics</w:t>
      </w:r>
    </w:p>
    <w:p>
      <w:r>
        <w:rPr>
          <w:i/>
          <w:sz w:val="20"/>
        </w:rPr>
        <w:t>Synthetic review dossier — DGF-BUY-012000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Delta — Observability Platform [F2EE0]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Sales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2027-03-15</w:t>
            </w:r>
          </w:p>
        </w:tc>
      </w:tr>
    </w:tbl>
    <w:p>
      <w:pPr>
        <w:pStyle w:val="Heading1"/>
      </w:pPr>
      <w:r>
        <w:t>Gate objective</w:t>
      </w:r>
    </w:p>
    <w:p>
      <w:r>
        <w:t>Assess applicable regulations and standards, privacy, controls, ethics, accessibility, retention and audit evidence.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DATA_LINEAGE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gate_evidence/architecture/data_lineage.csv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gate_evidence/compliance/ropa.csv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REG_MAPPING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gate_evidence/compliance/regulatory_mapping.csv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RETENTION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gate_evidence/compliance/retention_schedule.csv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ACCESSIBILITY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gate_evidence/compliance/accessibility_report.csv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CONTROL_MATRIX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gate_evidence/compliance/control_matrix.csv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EXPORT_CONTROL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gate_evidence/compliance/export_control.csv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REVIEW_FACTS_COMPLIANCE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2027-03-15 target unless the issue is a genuine blocker.</w:t>
      </w:r>
    </w:p>
    <w:p>
      <w:pPr>
        <w:pStyle w:val="ListBullet"/>
      </w:pPr>
      <w:r>
        <w:t>Sponsor: The project is priority P2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