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sz w:val="40"/>
        </w:rPr>
        <w:t>Project Charter</w:t>
      </w:r>
    </w:p>
    <w:p>
      <w:r>
        <w:rPr>
          <w:i/>
          <w:sz w:val="20"/>
        </w:rPr>
        <w:t>Synthetic DGF-Bench case DGF-BUY-012001</w:t>
      </w:r>
    </w:p>
    <w:p>
      <w:pPr>
        <w:pStyle w:val="Heading1"/>
      </w:pPr>
      <w:r>
        <w:t>Project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center"/>
            <w:shd w:fill="D9EAF7"/>
          </w:tcPr>
          <w:p>
            <w:r/>
            <w:r>
              <w:rPr>
                <w:b/>
                <w:sz w:val="18"/>
              </w:rPr>
              <w:t>Field</w:t>
            </w:r>
          </w:p>
        </w:tc>
        <w:tc>
          <w:tcPr>
            <w:tcW w:type="dxa" w:w="5184"/>
            <w:vAlign w:val="center"/>
            <w:shd w:fill="D9EAF7"/>
          </w:tcPr>
          <w:p>
            <w:r/>
            <w:r>
              <w:rPr>
                <w:b/>
                <w:sz w:val="18"/>
              </w:rPr>
              <w:t>Value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Name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Project Kepler — Identity Modernization [85431]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Route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buy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Business unit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Finance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Sponsor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Ines Benali-12001-SP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Project manager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Thomas Bennett-12001-PM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Business owner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Victor Dubois-12001-BO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Risk owner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Marc Meyer-12001-RO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Criticality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High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Data classification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Restricted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Users impacted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2000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Target go-live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2027-08-01</w:t>
            </w:r>
          </w:p>
        </w:tc>
      </w:tr>
    </w:tbl>
    <w:p>
      <w:pPr>
        <w:pStyle w:val="Heading1"/>
      </w:pPr>
      <w:r>
        <w:t>Declared project assumptions</w:t>
      </w:r>
    </w:p>
    <w:p>
      <w:pPr>
        <w:pStyle w:val="ListBullet"/>
      </w:pPr>
      <w:r>
        <w:t>Architecture diagrams and supplier documents are supplied by their respective owners.</w:t>
      </w:r>
    </w:p>
    <w:p>
      <w:pPr>
        <w:pStyle w:val="ListBullet"/>
      </w:pPr>
      <w:r>
        <w:t>Gate reviewers must request missing evidence rather than infer it.</w:t>
      </w:r>
    </w:p>
    <w:p>
      <w:pPr>
        <w:pStyle w:val="ListBullet"/>
      </w:pPr>
      <w:r>
        <w:t>A negative or rework decision is a valid outcome when the contract is not satisfied.</w:t>
      </w:r>
    </w:p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