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Security Architecture Gate — Cybersecurity &amp; Hardening</w:t>
      </w:r>
    </w:p>
    <w:p>
      <w:r>
        <w:rPr>
          <w:i/>
          <w:sz w:val="20"/>
        </w:rPr>
        <w:t>Synthetic review dossier — DGF-BUY-012002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Raven — Payments API Hub [C2D29]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2027-03-10</w:t>
            </w:r>
          </w:p>
        </w:tc>
      </w:tr>
    </w:tbl>
    <w:p>
      <w:pPr>
        <w:pStyle w:val="Heading1"/>
      </w:pPr>
      <w:r>
        <w:t>Gate objective</w:t>
      </w:r>
    </w:p>
    <w:p>
      <w:r>
        <w:t>Assess cybersecurity risk, segmentation, IAM, encryption, hardening, detection, testing and residual risk.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CONDITIONAL_ACCESS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gate_evidence/security/conditional_access.json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KEYVAULT_CONFIG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gate_evidence/security/keyvault_configuration.json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