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5x annual fees.</w:t>
      </w:r>
    </w:p>
    <w:p>
      <w:pPr>
        <w:pStyle w:val="ListBullet"/>
      </w:pPr>
      <w:r>
        <w:t>Audit right currently: reports_only.</w:t>
      </w:r>
    </w:p>
    <w:p>
      <w:pPr>
        <w:pStyle w:val="ListBullet"/>
      </w:pPr>
      <w:r>
        <w:t>Exit assistance: 180 days.</w:t>
      </w:r>
    </w:p>
    <w:p>
      <w:pPr>
        <w:pStyle w:val="ListBullet"/>
      </w:pPr>
      <w:r>
        <w:t>Security log export: limited.</w:t>
      </w:r>
    </w:p>
    <w:p>
      <w:pPr>
        <w:pStyle w:val="ListBullet"/>
      </w:pPr>
      <w:r>
        <w:t>DPA status: missing.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