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Security Architecture Gate — Cybersecurity &amp; Hardening</w:t>
      </w:r>
    </w:p>
    <w:p>
      <w:r>
        <w:rPr>
          <w:i/>
          <w:sz w:val="20"/>
        </w:rPr>
        <w:t>Synthetic review dossier — DGF-INT-012005</w:t>
      </w:r>
    </w:p>
    <w:p>
      <w:pPr>
        <w:pStyle w:val="Heading1"/>
      </w:pPr>
      <w:r>
        <w:t>Project context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Project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Orion Acquisition Integration — Supply Chain Integration [622C2]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Business unit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Procurement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Criticality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High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Data classification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Restricted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Target go-live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2027-07-24</w:t>
            </w:r>
          </w:p>
        </w:tc>
      </w:tr>
    </w:tbl>
    <w:p>
      <w:pPr>
        <w:pStyle w:val="Heading1"/>
      </w:pPr>
      <w:r>
        <w:t>Gate objective</w:t>
      </w:r>
    </w:p>
    <w:p>
      <w:r>
        <w:t>Assess cybersecurity risk, segmentation, IAM, encryption, hardening, detection, testing and residual risk.</w:t>
      </w:r>
    </w:p>
    <w:p>
      <w:pPr>
        <w:pStyle w:val="Heading1"/>
      </w:pPr>
      <w:r>
        <w:t>Evidence package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Evidence ID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Version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Path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PROJECT_CHARTER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shared/project_charter.docx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ACTION_REGISTER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shared/action_register.csv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CMDB_EXPORT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gate_evidence/it/cmdb_export.csv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HLD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gate_evidence/architecture/Architecture_Diagram_Detailed.svg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LLD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gate_evidence/architecture/LLD_Architecture_Notes.docx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FLOW_MATRIX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gate_evidence/architecture/flow_matrix.csv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OPENAPI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gate_evidence/architecture/openapi.yaml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DATA_MODEL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gate_evidence/architecture/data_model.json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IP_PLAN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gate_evidence/architecture/ip_plan.csv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AZURE_RESOURCE_GRAPH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gate_evidence/security/azure_resource_graph.json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IAM_EXPORT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gate_evidence/security/entra_role_assignments.csv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CONDITIONAL_ACCESS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UNAVAILABLE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gate_evidence/security/conditional_access.json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NSG_RULES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gate_evidence/security/nsg_rules.csv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WAF_POLICY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gate_evidence/security/waf_policy.json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SENTINEL_STATUS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gate_evidence/security/sentinel_connectors.json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FIREWALL_POLICY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gate_evidence/security/firewall_policy.json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KEYVAULT_CONFIG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UNAVAILABLE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gate_evidence/security/keyvault_configuration.json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DEFENDER_FINDINGS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gate_evidence/security/defender_findings.csv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VULN_SCAN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gate_evidence/security/vulnerability_scan.csv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PENTEST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gate_evidence/security/pentest_report.docx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THREAT_MODEL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gate_evidence/security/threat_model.docx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BACKUP_JOBS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UNAVAILABLE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gate_evidence/tech_readiness/backup_jobs.csv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RESTORE_TEST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gate_evidence/tech_readiness/restore_test.csv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CI_PIPELINE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UNAVAILABLE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gate_evidence/tech_readiness/ci_pipeline.json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MONITOR_ALERTS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gate_evidence/tech_readiness/monitor_alerts.csv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RFP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gate_evidence/procurement/RFP.docx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DUE_DILIGENCE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gate_evidence/procurement/due_diligence.csv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VENDOR_EVIDENCE_REQUEST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gate_evidence/procurement/vendor_evidence_request.docx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MSA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gate_evidence/legal/MSA.docx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DPA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gate_evidence/legal/DPA.docx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DATA_INVENTORY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gate_evidence/compliance/data_inventory.csv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DPIA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gate_evidence/compliance/DPIA.docx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AI_IMPACT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gate_evidence/compliance/AI_Impact_Assessment.docx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REVIEW_FACTS_SECURITY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gate_evidence/security/review_facts.json</w:t>
            </w:r>
          </w:p>
        </w:tc>
      </w:tr>
    </w:tbl>
    <w:p>
      <w:pPr>
        <w:pStyle w:val="Heading1"/>
      </w:pPr>
      <w:r>
        <w:t>Synthetic stakeholder comments</w:t>
      </w:r>
    </w:p>
    <w:p>
      <w:pPr>
        <w:pStyle w:val="ListBullet"/>
      </w:pPr>
      <w:r>
        <w:t>Project Manager: Please avoid delaying the 2027-07-24 target unless the issue is a genuine blocker.</w:t>
      </w:r>
    </w:p>
    <w:p>
      <w:pPr>
        <w:pStyle w:val="ListBullet"/>
      </w:pPr>
      <w:r>
        <w:t>Sponsor: The project is priority P1 and should proceed where risk can be bounded.</w:t>
      </w:r>
    </w:p>
    <w:p>
      <w:pPr>
        <w:pStyle w:val="ListBullet"/>
      </w:pPr>
      <w:r>
        <w:t>Evidence Owner: Some documents may be stale or incomplete; use authoritative systems where available.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