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left"/>
      </w:pPr>
      <w:r>
        <w:rPr>
          <w:b/>
          <w:sz w:val="40"/>
        </w:rPr>
        <w:t>Low-Level Architecture Notes</w:t>
      </w:r>
    </w:p>
    <w:p>
      <w:r>
        <w:rPr>
          <w:i/>
          <w:sz w:val="20"/>
        </w:rPr>
        <w:t>LLD LLD-71C27-v3.3</w:t>
      </w:r>
    </w:p>
    <w:p>
      <w:pPr>
        <w:pStyle w:val="Heading1"/>
      </w:pPr>
      <w:r>
        <w:t>Architecture constraints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5184"/>
            <w:vAlign w:val="center"/>
            <w:shd w:fill="D9EAF7"/>
          </w:tcPr>
          <w:p>
            <w:r/>
            <w:r>
              <w:rPr>
                <w:b/>
                <w:sz w:val="18"/>
              </w:rPr>
              <w:t>Field</w:t>
            </w:r>
          </w:p>
        </w:tc>
        <w:tc>
          <w:tcPr>
            <w:tcW w:type="dxa" w:w="5184"/>
            <w:vAlign w:val="center"/>
            <w:shd w:fill="D9EAF7"/>
          </w:tcPr>
          <w:p>
            <w:r/>
            <w:r>
              <w:rPr>
                <w:b/>
                <w:sz w:val="18"/>
              </w:rPr>
              <w:t>Value</w:t>
            </w:r>
          </w:p>
        </w:tc>
      </w:tr>
      <w:tr>
        <w:tc>
          <w:tcPr>
            <w:tcW w:type="dxa" w:w="5184"/>
            <w:vAlign w:val="center"/>
          </w:tcPr>
          <w:p>
            <w:r/>
            <w:r>
              <w:rPr>
                <w:b/>
                <w:sz w:val="18"/>
              </w:rPr>
              <w:t>API gateway required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b w:val="0"/>
                <w:sz w:val="18"/>
              </w:rPr>
              <w:t>True</w:t>
            </w:r>
          </w:p>
        </w:tc>
      </w:tr>
      <w:tr>
        <w:tc>
          <w:tcPr>
            <w:tcW w:type="dxa" w:w="5184"/>
            <w:vAlign w:val="center"/>
          </w:tcPr>
          <w:p>
            <w:r/>
            <w:r>
              <w:rPr>
                <w:b/>
                <w:sz w:val="18"/>
              </w:rPr>
              <w:t>API gateway present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b w:val="0"/>
                <w:sz w:val="18"/>
              </w:rPr>
              <w:t>True</w:t>
            </w:r>
          </w:p>
        </w:tc>
      </w:tr>
      <w:tr>
        <w:tc>
          <w:tcPr>
            <w:tcW w:type="dxa" w:w="5184"/>
            <w:vAlign w:val="center"/>
          </w:tcPr>
          <w:p>
            <w:r/>
            <w:r>
              <w:rPr>
                <w:b/>
                <w:sz w:val="18"/>
              </w:rPr>
              <w:t>DNS zone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b w:val="0"/>
                <w:sz w:val="18"/>
              </w:rPr>
              <w:t>dgf-int-012006.corp.example</w:t>
            </w:r>
          </w:p>
        </w:tc>
      </w:tr>
      <w:tr>
        <w:tc>
          <w:tcPr>
            <w:tcW w:type="dxa" w:w="5184"/>
            <w:vAlign w:val="center"/>
          </w:tcPr>
          <w:p>
            <w:r/>
            <w:r>
              <w:rPr>
                <w:b/>
                <w:sz w:val="18"/>
              </w:rPr>
              <w:t>Latency target ms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b w:val="0"/>
                <w:sz w:val="18"/>
              </w:rPr>
              <w:t>200</w:t>
            </w:r>
          </w:p>
        </w:tc>
      </w:tr>
      <w:tr>
        <w:tc>
          <w:tcPr>
            <w:tcW w:type="dxa" w:w="5184"/>
            <w:vAlign w:val="center"/>
          </w:tcPr>
          <w:p>
            <w:r/>
            <w:r>
              <w:rPr>
                <w:b/>
                <w:sz w:val="18"/>
              </w:rPr>
              <w:t>Measured latency ms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b w:val="0"/>
                <w:sz w:val="18"/>
              </w:rPr>
              <w:t>180</w:t>
            </w:r>
          </w:p>
        </w:tc>
      </w:tr>
      <w:tr>
        <w:tc>
          <w:tcPr>
            <w:tcW w:type="dxa" w:w="5184"/>
            <w:vAlign w:val="center"/>
          </w:tcPr>
          <w:p>
            <w:r/>
            <w:r>
              <w:rPr>
                <w:b/>
                <w:sz w:val="18"/>
              </w:rPr>
              <w:t>Reversibility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b w:val="0"/>
                <w:sz w:val="18"/>
              </w:rPr>
              <w:t>missing</w:t>
            </w:r>
          </w:p>
        </w:tc>
      </w:tr>
    </w:tbl>
    <w:p>
      <w:pPr>
        <w:pStyle w:val="Heading1"/>
      </w:pPr>
      <w:r>
        <w:t>Design notes</w:t>
      </w:r>
    </w:p>
    <w:p>
      <w:pPr>
        <w:pStyle w:val="ListBullet"/>
      </w:pPr>
      <w:r>
        <w:t>Compute profile: container_apps</w:t>
      </w:r>
    </w:p>
    <w:p>
      <w:pPr>
        <w:pStyle w:val="ListBullet"/>
      </w:pPr>
      <w:r>
        <w:t>Network profile: single_vnet</w:t>
      </w:r>
    </w:p>
    <w:p>
      <w:pPr>
        <w:pStyle w:val="ListBullet"/>
      </w:pPr>
      <w:r>
        <w:t>Resilience: single_region_single_az</w:t>
      </w:r>
    </w:p>
    <w:p>
      <w:pPr>
        <w:pStyle w:val="ListBullet"/>
      </w:pPr>
      <w:r>
        <w:t>Data replication: LRS only</w:t>
      </w:r>
    </w:p>
    <w:sectPr w:rsidR="00FC693F" w:rsidRPr="0006063C" w:rsidSect="00034616">
      <w:pgSz w:w="12240" w:h="15840"/>
      <w:pgMar w:top="792" w:right="936" w:bottom="792" w:left="93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