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MSA-64AF6-5.5</w:t>
      </w:r>
    </w:p>
    <w:p>
      <w:pPr>
        <w:pStyle w:val="Heading1"/>
      </w:pPr>
      <w:r>
        <w:t>1. Services</w:t>
      </w:r>
    </w:p>
    <w:p>
      <w:r>
        <w:t>Supplier shall provide the services described in the Order Form for Saffron Acquisition Integration — Contract Intelligence [64AF6].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missing.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vendor.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5x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