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Legal Gate — Law &amp; Contractual Commitments</w:t>
      </w:r>
    </w:p>
    <w:p>
      <w:r>
        <w:rPr>
          <w:i/>
          <w:sz w:val="20"/>
        </w:rPr>
        <w:t>Synthetic review dossier — DGF-INT-012008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Falcon Acquisition Integration — Risk Analytics Platform [3ED4F]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Corporate Services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2027-05-14</w:t>
            </w:r>
          </w:p>
        </w:tc>
      </w:tr>
    </w:tbl>
    <w:p>
      <w:pPr>
        <w:pStyle w:val="Heading1"/>
      </w:pPr>
      <w:r>
        <w:t>Gate objective</w:t>
      </w:r>
    </w:p>
    <w:p>
      <w:r>
        <w:t>Assess contractual conformity including liability, SLA, reversibility, IP, data clauses, insurance and signing powers.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CONTRACT_PLAYBOOK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gate_evidence/legal/contract_playbook.json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REVIEW_FACTS_LEGAL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2027-05-14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