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1x annual fees.</w:t>
      </w:r>
    </w:p>
    <w:p>
      <w:pPr>
        <w:pStyle w:val="ListBullet"/>
      </w:pPr>
      <w:r>
        <w:t>Audit right currently: limited.</w:t>
      </w:r>
    </w:p>
    <w:p>
      <w:pPr>
        <w:pStyle w:val="ListBullet"/>
      </w:pPr>
      <w:r>
        <w:t>Exit assistance: 90 days.</w:t>
      </w:r>
    </w:p>
    <w:p>
      <w:pPr>
        <w:pStyle w:val="ListBullet"/>
      </w:pPr>
      <w:r>
        <w:t>Security log export: included.</w:t>
      </w:r>
    </w:p>
    <w:p>
      <w:pPr>
        <w:pStyle w:val="ListBullet"/>
      </w:pPr>
      <w:r>
        <w:t>DPA status: not_required.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