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Legal Gate — Law &amp; Contractual Commitments</w:t>
      </w:r>
    </w:p>
    <w:p>
      <w:r>
        <w:rPr>
          <w:i/>
          <w:sz w:val="20"/>
        </w:rPr>
        <w:t>Synthetic review dossier — DGF-INT-012009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Meridian Acquisition Integration — AI Service Desk [9D937]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Procurement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Internal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2027-12-05</w:t>
            </w:r>
          </w:p>
        </w:tc>
      </w:tr>
    </w:tbl>
    <w:p>
      <w:pPr>
        <w:pStyle w:val="Heading1"/>
      </w:pPr>
      <w:r>
        <w:t>Gate objective</w:t>
      </w:r>
    </w:p>
    <w:p>
      <w:r>
        <w:t>Assess contractual conformity including liability, SLA, reversibility, IP, data clauses, insurance and signing powers.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INSURANCE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gate_evidence/legal/Insurance_Certificate.docx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SIGNING_AUTHORITY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gate_evidence/legal/signing_authority.csv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CONTRACT_PLAYBOOK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gate_evidence/legal/contract_playbook.json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NEGOTIATION_LOG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gate_evidence/legal/negotiation_log.docx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gate_evidence/compliance/ropa.csv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RETENTION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gate_evidence/compliance/retention_schedule.csv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REVIEW_FACTS_LEGAL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2027-12-05 target unless the issue is a genuine blocker.</w:t>
      </w:r>
    </w:p>
    <w:p>
      <w:pPr>
        <w:pStyle w:val="ListBullet"/>
      </w:pPr>
      <w:r>
        <w:t>Sponsor: The project is priority P3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