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1x annual fees.</w:t>
      </w:r>
    </w:p>
    <w:p>
      <w:pPr>
        <w:pStyle w:val="ListBullet"/>
      </w:pPr>
      <w:r>
        <w:t>Audit right currently: none.</w:t>
      </w:r>
    </w:p>
    <w:p>
      <w:pPr>
        <w:pStyle w:val="ListBullet"/>
      </w:pPr>
      <w:r>
        <w:t>Exit assistance: 180 days.</w:t>
      </w:r>
    </w:p>
    <w:p>
      <w:pPr>
        <w:pStyle w:val="ListBullet"/>
      </w:pPr>
      <w:r>
        <w:t>Security log export: missing.</w:t>
      </w:r>
    </w:p>
    <w:p>
      <w:pPr>
        <w:pStyle w:val="ListBullet"/>
      </w:pPr>
      <w:r>
        <w:t>DPA status: not_required.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