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Low-Level Architecture Notes</w:t>
      </w:r>
    </w:p>
    <w:p>
      <w:r>
        <w:rPr>
          <w:i/>
          <w:sz w:val="20"/>
        </w:rPr>
        <w:t>LLD LLD-FAEBC-v4.5</w:t>
      </w:r>
    </w:p>
    <w:p>
      <w:pPr>
        <w:pStyle w:val="Heading1"/>
      </w:pPr>
      <w:r>
        <w:t>Architecture constraints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API gateway required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API gateway present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DNS zone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dgf-bld-011902.corp.example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Latency target ms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100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Measured latency ms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180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Reversibility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tested</w:t>
            </w:r>
          </w:p>
        </w:tc>
      </w:tr>
    </w:tbl>
    <w:p>
      <w:pPr>
        <w:pStyle w:val="Heading1"/>
      </w:pPr>
      <w:r>
        <w:t>Design notes</w:t>
      </w:r>
    </w:p>
    <w:p>
      <w:pPr>
        <w:pStyle w:val="ListBullet"/>
      </w:pPr>
      <w:r>
        <w:t>Compute profile: app_service</w:t>
      </w:r>
    </w:p>
    <w:p>
      <w:pPr>
        <w:pStyle w:val="ListBullet"/>
      </w:pPr>
      <w:r>
        <w:t>Network profile: hub_spoke</w:t>
      </w:r>
    </w:p>
    <w:p>
      <w:pPr>
        <w:pStyle w:val="ListBullet"/>
      </w:pPr>
      <w:r>
        <w:t>Resilience: single_region_multi_az</w:t>
      </w:r>
    </w:p>
    <w:p>
      <w:pPr>
        <w:pStyle w:val="ListBullet"/>
      </w:pPr>
      <w:r>
        <w:t>Data replication: Synchronous zone replica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