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Compliance Gate — Regulation, Standards &amp; Ethics</w:t>
      </w:r>
    </w:p>
    <w:p>
      <w:r>
        <w:rPr>
          <w:i/>
          <w:sz w:val="20"/>
        </w:rPr>
        <w:t>Synthetic review dossier — DGF-BUY-011900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Xenon — Observability Platform [AC58E]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2028-01-04</w:t>
            </w:r>
          </w:p>
        </w:tc>
      </w:tr>
    </w:tbl>
    <w:p>
      <w:pPr>
        <w:pStyle w:val="Heading1"/>
      </w:pPr>
      <w:r>
        <w:t>Gate objective</w:t>
      </w:r>
    </w:p>
    <w:p>
      <w:r>
        <w:t>Assess applicable regulations and standards, privacy, controls, ethics, accessibility, retention and audit evidence.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2028-01-04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