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RAUB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 DEVI A/P SUPPIAH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620503065306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0620041100055690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806200030501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383.22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1.305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 DEVI A/P SUPPIAH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620503065306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09:51:22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norrulzafirah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09:51:22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