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SEBERANG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BUWANESWARI A/P PERAMALU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700902075608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0219029000205576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807139030784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BUWANESWARI A/P PERAMALU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700902075608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nurfitryn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