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TAIPING (BB)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SURIA BINTI HARUN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690506016220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1211229000334888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808228030998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371.15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30,000.05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80.830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SURIA BINTI HARUN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690506016220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12:16:18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muhdhazman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12:16:18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