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09:46:15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FAIZ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811015075785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1000541100089547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810005029734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09:46:15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FAIZ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811015075785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1000541100089547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810005029734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