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ARAU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2024-05-21 12:22:24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A24052100088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HALIJAH BINTI BULAT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590601095184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0220041100015776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802107030546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379.10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100,082.40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264.000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ARAU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2024-05-21 12:22:24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A24052100088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HALIJAH BINTI BULAT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590601095184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0220041100015776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802107030546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379.10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100,082.40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264.000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