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F46E5"/>
          <w:sz w:val="56"/>
          <w:szCs w:val="56"/>
        </w:rPr>
        <w:t xml:space="preserve">MyTeam360</w:t>
      </w:r>
    </w:p>
    <w:p>
      <w:pPr>
        <w:spacing w:after="100"/>
        <w:jc w:val="center"/>
      </w:pPr>
      <w:r>
        <w:rPr>
          <w:rFonts w:ascii="Arial" w:cs="Arial" w:eastAsia="Arial" w:hAnsi="Arial"/>
          <w:color w:val="444444"/>
          <w:sz w:val="36"/>
          <w:szCs w:val="36"/>
        </w:rPr>
        <w:t xml:space="preserve">Security Deep Dive &amp; Audit Report</w:t>
      </w:r>
    </w:p>
    <w:p>
      <w:pPr>
        <w:spacing w:after="600"/>
        <w:jc w:val="center"/>
      </w:pPr>
      <w:r>
        <w:rPr>
          <w:rFonts w:ascii="Arial" w:cs="Arial" w:eastAsia="Arial" w:hAnsi="Arial"/>
          <w:color w:val="888888"/>
          <w:sz w:val="22"/>
          <w:szCs w:val="22"/>
        </w:rPr>
        <w:t xml:space="preserve">Version 1.0  |  March 2026  |  Confidential</w:t>
      </w:r>
    </w:p>
    <w:p>
      <w:r>
        <w:br w:type="page"/>
      </w:r>
    </w:p>
    <w:p>
      <w:pPr>
        <w:pStyle w:val="Heading1"/>
      </w:pPr>
      <w:r>
        <w:t xml:space="preserve">Executive Summary</w:t>
      </w:r>
    </w:p>
    <w:p>
      <w:pPr>
        <w:spacing w:after="120"/>
      </w:pPr>
      <w:r>
        <w:t xml:space="preserve">This report is a comprehensive security audit of the MyTeam360 AI platform, covering authentication, authorization, data protection, network security, and application-layer defenses. The platform demonstrates solid security fundamentals with PBKDF2 password hashing, token-based auth, role-based access control, rate limiting, IP whitelisting, and security headers. Several areas are identified for hardening before production deployment.</w:t>
      </w:r>
    </w:p>
    <w:p>
      <w:pPr>
        <w:pStyle w:val="Heading2"/>
      </w:pPr>
      <w:r>
        <w:t xml:space="preserve">Audit Scope</w:t>
      </w:r>
    </w:p>
    <w:p>
      <w:pPr>
        <w:pStyle w:val="ListParagraph"/>
        <w:numPr>
          <w:ilvl w:val="0"/>
          <w:numId w:val="2"/>
        </w:numPr>
        <w:spacing w:after="80"/>
      </w:pPr>
      <w:r>
        <w:rPr>
          <w:sz w:val="22"/>
          <w:szCs w:val="22"/>
        </w:rPr>
        <w:t xml:space="preserve">Backend: 4,897 lines Python (Flask) across 13 modules</w:t>
      </w:r>
    </w:p>
    <w:p>
      <w:pPr>
        <w:pStyle w:val="ListParagraph"/>
        <w:numPr>
          <w:ilvl w:val="0"/>
          <w:numId w:val="2"/>
        </w:numPr>
        <w:spacing w:after="80"/>
      </w:pPr>
      <w:r>
        <w:rPr>
          <w:sz w:val="22"/>
          <w:szCs w:val="22"/>
        </w:rPr>
        <w:t xml:space="preserve">Frontend: 1,116 lines single-page application (HTML/CSS/JS)</w:t>
      </w:r>
    </w:p>
    <w:p>
      <w:pPr>
        <w:pStyle w:val="ListParagraph"/>
        <w:numPr>
          <w:ilvl w:val="0"/>
          <w:numId w:val="2"/>
        </w:numPr>
        <w:spacing w:after="80"/>
      </w:pPr>
      <w:r>
        <w:rPr>
          <w:sz w:val="22"/>
          <w:szCs w:val="22"/>
        </w:rPr>
        <w:t xml:space="preserve">Database: SQLite with WAL mode, 25+ tables</w:t>
      </w:r>
    </w:p>
    <w:p>
      <w:pPr>
        <w:pStyle w:val="ListParagraph"/>
        <w:numPr>
          <w:ilvl w:val="0"/>
          <w:numId w:val="2"/>
        </w:numPr>
        <w:spacing w:after="80"/>
      </w:pPr>
      <w:r>
        <w:rPr>
          <w:sz w:val="22"/>
          <w:szCs w:val="22"/>
        </w:rPr>
        <w:t xml:space="preserve">API surface: 63+ tested endpoints</w:t>
      </w:r>
    </w:p>
    <w:p>
      <w:pPr>
        <w:pStyle w:val="ListParagraph"/>
        <w:numPr>
          <w:ilvl w:val="0"/>
          <w:numId w:val="2"/>
        </w:numPr>
        <w:spacing w:after="80"/>
      </w:pPr>
      <w:r>
        <w:rPr>
          <w:sz w:val="22"/>
          <w:szCs w:val="22"/>
        </w:rPr>
        <w:t xml:space="preserve">Authentication: Bearer tokens + Flask sessions</w:t>
      </w:r>
    </w:p>
    <w:p>
      <w:pPr>
        <w:pStyle w:val="Heading2"/>
      </w:pPr>
      <w: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API keys stored without encryption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password salt, CORS wildcard, no CSRF tokens</w:t>
            </w:r>
          </w:p>
        </w:tc>
      </w:tr>
      <w:tr>
        <w:tc>
          <w:tcPr>
            <w:tcW w:type="dxa" w:w="2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4</w:t>
            </w:r>
          </w:p>
        </w:tc>
        <w:tc>
          <w:tcPr>
            <w:tcW w:type="dxa" w:w="61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Default credentials, token in URL params, no bcrypt, in-memory rate limits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Content-Security-Policy, verbose errors, no request signing</w:t>
            </w:r>
          </w:p>
        </w:tc>
      </w:tr>
    </w:tbl>
    <w:p>
      <w:pPr>
        <w:spacing w:after="200"/>
      </w:pPr>
    </w:p>
    <w:p>
      <w:r>
        <w:br w:type="page"/>
      </w:r>
    </w:p>
    <w:p>
      <w:pPr>
        <w:pStyle w:val="Heading1"/>
      </w:pPr>
      <w:r>
        <w:t xml:space="preserve">Authentication &amp; Identity</w:t>
      </w:r>
    </w:p>
    <w:p>
      <w:pPr>
        <w:pStyle w:val="Heading2"/>
      </w:pPr>
      <w:r>
        <w:t xml:space="preserve">Password Hashing</w:t>
      </w:r>
    </w:p>
    <w:p>
      <w:pPr>
        <w:spacing w:after="120"/>
      </w:pPr>
      <w:r>
        <w:t xml:space="preserve">Implementation: </w:t>
      </w:r>
      <w:r>
        <w:rPr>
          <w:b/>
          <w:bCs/>
        </w:rPr>
        <w:t xml:space="preserve">PBKDF2-HMAC-SHA256 with 100,000 iterations</w:t>
      </w:r>
    </w:p>
    <w:p>
      <w:pPr>
        <w:shd w:fill="F4F4F5" w:val="clear"/>
        <w:spacing w:before="80" w:after="80"/>
        <w:ind w:left="360" w:right="360"/>
      </w:pPr>
      <w:r>
        <w:rPr>
          <w:rFonts w:ascii="Courier New" w:cs="Courier New" w:eastAsia="Courier New" w:hAnsi="Courier New"/>
          <w:sz w:val="18"/>
          <w:szCs w:val="18"/>
        </w:rPr>
        <w:t xml:space="preserve">hashlib.pbkdf2_hmac('sha256', password.encode(), salt.encode(), 100000).hex()</w:t>
      </w:r>
    </w:p>
    <w:p>
      <w:pPr>
        <w:pStyle w:val="Heading3"/>
      </w:pPr>
      <w:r>
        <w:t xml:space="preserve">Finding: Shared Static Salt</w:t>
      </w:r>
    </w:p>
    <w:p>
      <w:pPr>
        <w:spacing w:after="120"/>
      </w:pPr>
      <w:r>
        <w:rPr>
          <w:b/>
          <w:bCs/>
          <w:color w:val="EA580C"/>
          <w:sz w:val="22"/>
          <w:szCs w:val="22"/>
        </w:rPr>
        <w:t xml:space="preserve"> [High] </w:t>
      </w:r>
      <w:r>
        <w:t xml:space="preserve">All users share a single salt from the PASSWORD_SALT environment variable (default: 'mt360-salt-change-me'). This means two users with the same password will have identical hashes, enabling rainbow table attacks if the database is compromised.</w:t>
      </w:r>
    </w:p>
    <w:p>
      <w:pPr>
        <w:spacing w:after="120"/>
      </w:pPr>
      <w:r>
        <w:rPr>
          <w:b/>
          <w:bCs/>
        </w:rPr>
        <w:t xml:space="preserve">Recommendation: </w:t>
      </w:r>
      <w:r>
        <w:t xml:space="preserve">Generate a unique random salt per user stored alongside their hash. Better yet, migrate to bcrypt or Argon2id which handle salting automatically. The bcrypt library provides this with minimal code change.</w:t>
      </w:r>
    </w:p>
    <w:p>
      <w:pPr>
        <w:shd w:fill="F4F4F5" w:val="clear"/>
        <w:spacing w:before="80" w:after="80"/>
        <w:ind w:left="360" w:right="360"/>
      </w:pPr>
      <w:r>
        <w:rPr>
          <w:rFonts w:ascii="Courier New" w:cs="Courier New" w:eastAsia="Courier New" w:hAnsi="Courier New"/>
          <w:sz w:val="18"/>
          <w:szCs w:val="18"/>
        </w:rPr>
        <w:t xml:space="preserve"># Recommended: pip install bcrypt
import bcrypt
hash = bcrypt.hashpw(password.encode(), bcrypt.gensalt(rounds=12))</w:t>
      </w:r>
    </w:p>
    <w:p>
      <w:pPr>
        <w:pStyle w:val="Heading3"/>
      </w:pPr>
      <w:r>
        <w:t xml:space="preserve">Finding: Default Owner Credentials</w:t>
      </w:r>
    </w:p>
    <w:p>
      <w:pPr>
        <w:spacing w:after="120"/>
      </w:pPr>
      <w:r>
        <w:rPr>
          <w:b/>
          <w:bCs/>
          <w:color w:val="CA8A04"/>
          <w:sz w:val="22"/>
          <w:szCs w:val="22"/>
        </w:rPr>
        <w:t xml:space="preserve"> [Medium] </w:t>
      </w:r>
      <w:r>
        <w:t xml:space="preserve">The system creates admin@localhost / admin123 on first boot. Credentials are logged to console and written to data/initial_credentials.txt with 0600 permissions.</w:t>
      </w:r>
    </w:p>
    <w:p>
      <w:pPr>
        <w:spacing w:after="120"/>
      </w:pPr>
      <w:r>
        <w:rPr>
          <w:b/>
          <w:bCs/>
        </w:rPr>
        <w:t xml:space="preserve">Recommendation: </w:t>
      </w:r>
      <w:r>
        <w:t xml:space="preserve">Force password change on first login. Add an onboarding step that requires the owner to set a strong password before the platform becomes operational. Delete initial_credentials.txt after first successful login.</w:t>
      </w:r>
    </w:p>
    <w:p>
      <w:pPr>
        <w:pStyle w:val="Heading2"/>
      </w:pPr>
      <w:r>
        <w:t xml:space="preserve">Token Management</w:t>
      </w:r>
    </w:p>
    <w:p>
      <w:pPr>
        <w:spacing w:after="120"/>
      </w:pPr>
      <w:r>
        <w:t xml:space="preserve">Tokens use the format mt360_{44 random chars} generated via secrets.token_urlsafe(32). Token hashes are SHA-256 with a configurable salt, stored in the api_tokens table with expiration tracking and last-used timestamps.</w:t>
      </w:r>
    </w:p>
    <w:p>
      <w:pPr>
        <w:pStyle w:val="Heading3"/>
      </w:pPr>
      <w:r>
        <w:t xml:space="preserve">Finding: Token in Query Parameters</w:t>
      </w:r>
    </w:p>
    <w:p>
      <w:pPr>
        <w:spacing w:after="120"/>
      </w:pPr>
      <w:r>
        <w:rPr>
          <w:b/>
          <w:bCs/>
          <w:color w:val="CA8A04"/>
          <w:sz w:val="22"/>
          <w:szCs w:val="22"/>
        </w:rPr>
        <w:t xml:space="preserve"> [Medium] </w:t>
      </w:r>
      <w:r>
        <w:t xml:space="preserve">For SSE (Server-Sent Events) streaming, tokens are passed as ?token= query parameters. These appear in server logs, browser history, and potentially proxy logs.</w:t>
      </w:r>
    </w:p>
    <w:p>
      <w:pPr>
        <w:spacing w:after="120"/>
      </w:pPr>
      <w:r>
        <w:rPr>
          <w:b/>
          <w:bCs/>
        </w:rPr>
        <w:t xml:space="preserve">Recommendation: </w:t>
      </w:r>
      <w:r>
        <w:t xml:space="preserve">Use short-lived single-use tokens for SSE connections. Generate a 60-second token specifically for the streaming endpoint, invalidated after first use.</w:t>
      </w:r>
    </w:p>
    <w:p>
      <w:pPr>
        <w:pStyle w:val="Heading2"/>
      </w:pPr>
      <w:r>
        <w:t xml:space="preserve">Session Security</w:t>
      </w:r>
    </w:p>
    <w:p>
      <w:pPr>
        <w:spacing w:after="120"/>
      </w:pPr>
      <w:r>
        <w:t xml:space="preserve">Flask sessions are configured with HttpOnly cookies, SameSite=Lax, and optional Secure flag (when HTTPS_ENABLED=true). Session secret is generated with secrets.token_hex(32) at startup if not set via SESSION_SECRET.</w:t>
      </w:r>
    </w:p>
    <w:p>
      <w:pPr>
        <w:pStyle w:val="ListParagraph"/>
        <w:numPr>
          <w:ilvl w:val="0"/>
          <w:numId w:val="2"/>
        </w:numPr>
        <w:spacing w:after="80"/>
      </w:pPr>
      <w:r>
        <w:rPr>
          <w:sz w:val="22"/>
          <w:szCs w:val="22"/>
        </w:rPr>
        <w:t xml:space="preserve">Session lifetime configurable via SESSION_HOURS (default: 24h)</w:t>
      </w:r>
    </w:p>
    <w:p>
      <w:pPr>
        <w:pStyle w:val="ListParagraph"/>
        <w:numPr>
          <w:ilvl w:val="0"/>
          <w:numId w:val="2"/>
        </w:numPr>
        <w:spacing w:after="80"/>
      </w:pPr>
      <w:r>
        <w:rPr>
          <w:sz w:val="22"/>
          <w:szCs w:val="22"/>
        </w:rPr>
        <w:t xml:space="preserve">Session regenerated on login via token creation</w:t>
      </w:r>
    </w:p>
    <w:p>
      <w:pPr>
        <w:pStyle w:val="ListParagraph"/>
        <w:numPr>
          <w:ilvl w:val="0"/>
          <w:numId w:val="2"/>
        </w:numPr>
        <w:spacing w:after="80"/>
      </w:pPr>
      <w:r>
        <w:rPr>
          <w:sz w:val="22"/>
          <w:szCs w:val="22"/>
        </w:rPr>
        <w:t xml:space="preserve">Session cleared on logout</w:t>
      </w:r>
    </w:p>
    <w:p>
      <w:pPr>
        <w:spacing w:after="120"/>
      </w:pPr>
      <w:r>
        <w:rPr>
          <w:b/>
          <w:bCs/>
          <w:color w:val="2563EB"/>
          <w:sz w:val="22"/>
          <w:szCs w:val="22"/>
        </w:rPr>
        <w:t xml:space="preserve"> [Info] </w:t>
      </w:r>
      <w:r>
        <w:t xml:space="preserve">Session secret regenerates on every restart if not configured. Set SESSION_SECRET in environment for persistence across restarts.</w:t>
      </w:r>
    </w:p>
    <w:p>
      <w:r>
        <w:br w:type="page"/>
      </w:r>
    </w:p>
    <w:p>
      <w:pPr>
        <w:pStyle w:val="Heading1"/>
      </w:pPr>
      <w:r>
        <w:t xml:space="preserve">Authorization &amp; Access Control</w:t>
      </w:r>
    </w:p>
    <w:p>
      <w:pPr>
        <w:pStyle w:val="Heading2"/>
      </w:pPr>
      <w:r>
        <w:t xml:space="preserve">Role-Based Access Control</w:t>
      </w:r>
    </w:p>
    <w:p>
      <w:pPr>
        <w:spacing w:after="120"/>
      </w:pPr>
      <w:r>
        <w:t xml:space="preserve">Four roles with hierarchical permissions: Owner &gt; Admin &gt; Member &gt;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UI Access</w:t>
            </w:r>
          </w:p>
        </w:tc>
      </w:tr>
      <w:tr>
        <w:tc>
          <w:tcPr>
            <w:tcW w:type="dxa" w:w="1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Owner</w:t>
            </w:r>
          </w:p>
        </w:tc>
        <w:tc>
          <w:tcPr>
            <w:tcW w:type="dxa" w:w="4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Full access: users, workspace, billing, agents, workflows, analytics, clients, approvals</w:t>
            </w:r>
          </w:p>
        </w:tc>
        <w:tc>
          <w:tcPr>
            <w:tcW w:type="dxa" w:w="3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screens + Admin Panel + API Key Vault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agents, workflows, analytics, clients, approvals (no billing/workspace)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screens + Admin Panel</w:t>
            </w:r>
          </w:p>
        </w:tc>
      </w:tr>
      <w:tr>
        <w:tc>
          <w:tcPr>
            <w:tcW w:type="dxa" w:w="1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Member</w:t>
            </w:r>
          </w:p>
        </w:tc>
        <w:tc>
          <w:tcPr>
            <w:tcW w:type="dxa" w:w="46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Create/share agents, create/run workflows, chat</w:t>
            </w:r>
          </w:p>
        </w:tc>
        <w:tc>
          <w:tcPr>
            <w:tcW w:type="dxa" w:w="33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Workspace screens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only (shared agents)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screen only</w:t>
            </w:r>
          </w:p>
        </w:tc>
      </w:tr>
    </w:tbl>
    <w:p>
      <w:pPr>
        <w:spacing w:after="200"/>
      </w:pPr>
    </w:p>
    <w:p>
      <w:pPr>
        <w:pStyle w:val="Heading2"/>
      </w:pPr>
      <w:r>
        <w:t xml:space="preserve">Department Isolation</w:t>
      </w:r>
    </w:p>
    <w:p>
      <w:pPr>
        <w:spacing w:after="120"/>
      </w:pPr>
      <w:r>
        <w:t xml:space="preserve">Resources are scoped by department membership. The get_accessible_agent_ids() and get_accessible_folder_ids() functions return None for admins (unrestricted) and filtered lists for members. Members see company-wide resources plus those assigned to their departments plus resources they own.</w:t>
      </w:r>
    </w:p>
    <w:p>
      <w:pPr>
        <w:spacing w:after="120"/>
      </w:pPr>
      <w:r>
        <w:rPr>
          <w:b/>
          <w:bCs/>
          <w:color w:val="2563EB"/>
          <w:sz w:val="22"/>
          <w:szCs w:val="22"/>
        </w:rPr>
        <w:t xml:space="preserve"> [Info] </w:t>
      </w:r>
      <w:r>
        <w:t xml:space="preserve">The isolation logic is enforced at the application layer, not the database layer. A SQL injection or application bypass would circumvent department boundaries. Consider adding row-level security or database views for defense-in-depth.</w:t>
      </w:r>
    </w:p>
    <w:p>
      <w:pPr>
        <w:pStyle w:val="Heading2"/>
      </w:pPr>
      <w:r>
        <w:t xml:space="preserve">Admin Route Protection</w:t>
      </w:r>
    </w:p>
    <w:p>
      <w:pPr>
        <w:spacing w:after="120"/>
      </w:pPr>
      <w:r>
        <w:t xml:space="preserve">Admin endpoints check g.user.role against ('owner', 'admin') in each route handler. This pattern is consistent across all admin routes but relies on per-route checks rather than a centralized decorator.</w:t>
      </w:r>
    </w:p>
    <w:p>
      <w:pPr>
        <w:spacing w:after="120"/>
      </w:pPr>
      <w:r>
        <w:rPr>
          <w:b/>
          <w:bCs/>
        </w:rPr>
        <w:t xml:space="preserve">Recommendation: </w:t>
      </w:r>
      <w:r>
        <w:t xml:space="preserve">Create a @require_admin decorator to centralize and enforce admin checks. This reduces the risk of a new route accidentally missing the authorization check.</w:t>
      </w:r>
    </w:p>
    <w:p>
      <w:pPr>
        <w:shd w:fill="F4F4F5" w:val="clear"/>
        <w:spacing w:before="80" w:after="80"/>
        <w:ind w:left="360" w:right="360"/>
      </w:pPr>
      <w:r>
        <w:rPr>
          <w:rFonts w:ascii="Courier New" w:cs="Courier New" w:eastAsia="Courier New" w:hAnsi="Courier New"/>
          <w:sz w:val="18"/>
          <w:szCs w:val="18"/>
        </w:rPr>
        <w:t xml:space="preserve">def require_admin(f):
    @wraps(f)
    def decorated(*args, **kwargs):
        if g.user.get('role') not in ('owner','admin'):
            return jsonify({'error':'Admin required'}), 403
        return f(*args, **kwargs)
    return decorated</w:t>
      </w:r>
    </w:p>
    <w:p>
      <w:r>
        <w:br w:type="page"/>
      </w:r>
    </w:p>
    <w:p>
      <w:pPr>
        <w:pStyle w:val="Heading1"/>
      </w:pPr>
      <w:r>
        <w:t xml:space="preserve">Data Protection</w:t>
      </w:r>
    </w:p>
    <w:p>
      <w:pPr>
        <w:pStyle w:val="Heading2"/>
      </w:pPr>
      <w:r>
        <w:t xml:space="preserve">API Key Storage</w:t>
      </w:r>
    </w:p>
    <w:p>
      <w:pPr>
        <w:spacing w:after="120"/>
      </w:pPr>
      <w:r>
        <w:rPr>
          <w:b/>
          <w:bCs/>
          <w:color w:val="DC2626"/>
          <w:sz w:val="22"/>
          <w:szCs w:val="22"/>
        </w:rPr>
        <w:t xml:space="preserve"> [Critical] </w:t>
      </w:r>
      <w:r>
        <w:rPr>
          <w:b/>
          <w:bCs/>
        </w:rPr>
        <w:t xml:space="preserve">AI provider API keys (Anthropic, OpenAI, etc.) are stored in plaintext </w:t>
      </w:r>
      <w:r>
        <w:t xml:space="preserve">in the user_api_keys table's encrypted_key column. Despite the column name suggesting encryption, no encryption is applied. A database breach exposes all provider keys.</w:t>
      </w:r>
    </w:p>
    <w:p>
      <w:pPr>
        <w:spacing w:after="120"/>
      </w:pPr>
      <w:r>
        <w:rPr>
          <w:b/>
          <w:bCs/>
        </w:rPr>
        <w:t xml:space="preserve">Recommendation: </w:t>
      </w:r>
      <w:r>
        <w:t xml:space="preserve">Implement Fernet symmetric encryption using a master key derived from an environment variable. This is the single most critical finding in this audit.</w:t>
      </w:r>
    </w:p>
    <w:p>
      <w:pPr>
        <w:shd w:fill="F4F4F5" w:val="clear"/>
        <w:spacing w:before="80" w:after="80"/>
        <w:ind w:left="360" w:right="360"/>
      </w:pPr>
      <w:r>
        <w:rPr>
          <w:rFonts w:ascii="Courier New" w:cs="Courier New" w:eastAsia="Courier New" w:hAnsi="Courier New"/>
          <w:sz w:val="18"/>
          <w:szCs w:val="18"/>
        </w:rPr>
        <w:t xml:space="preserve">from cryptography.fernet import Fernet
key = Fernet.generate_key()  # Store in env var
cipher = Fernet(key)
encrypted = cipher.encrypt(api_key.encode())
decrypted = cipher.decrypt(encrypted).decode()</w:t>
      </w:r>
    </w:p>
    <w:p>
      <w:pPr>
        <w:pStyle w:val="Heading2"/>
      </w:pPr>
      <w:r>
        <w:t xml:space="preserve">Database Security</w:t>
      </w:r>
    </w:p>
    <w:p>
      <w:pPr>
        <w:pStyle w:val="ListParagraph"/>
        <w:numPr>
          <w:ilvl w:val="0"/>
          <w:numId w:val="2"/>
        </w:numPr>
        <w:spacing w:after="80"/>
      </w:pPr>
      <w:r>
        <w:rPr>
          <w:sz w:val="22"/>
          <w:szCs w:val="22"/>
        </w:rPr>
        <w:t xml:space="preserve">SQLite with WAL (Write-Ahead Logging) for concurrent reads</w:t>
      </w:r>
    </w:p>
    <w:p>
      <w:pPr>
        <w:pStyle w:val="ListParagraph"/>
        <w:numPr>
          <w:ilvl w:val="0"/>
          <w:numId w:val="2"/>
        </w:numPr>
        <w:spacing w:after="80"/>
      </w:pPr>
      <w:r>
        <w:rPr>
          <w:sz w:val="22"/>
          <w:szCs w:val="22"/>
        </w:rPr>
        <w:t xml:space="preserve">PRAGMA foreign_keys=ON enforced on every connection</w:t>
      </w:r>
    </w:p>
    <w:p>
      <w:pPr>
        <w:pStyle w:val="ListParagraph"/>
        <w:numPr>
          <w:ilvl w:val="0"/>
          <w:numId w:val="2"/>
        </w:numPr>
        <w:spacing w:after="80"/>
      </w:pPr>
      <w:r>
        <w:rPr>
          <w:sz w:val="22"/>
          <w:szCs w:val="22"/>
        </w:rPr>
        <w:t xml:space="preserve">Connection timeout: 15 seconds</w:t>
      </w:r>
    </w:p>
    <w:p>
      <w:pPr>
        <w:pStyle w:val="ListParagraph"/>
        <w:numPr>
          <w:ilvl w:val="0"/>
          <w:numId w:val="2"/>
        </w:numPr>
        <w:spacing w:after="80"/>
      </w:pPr>
      <w:r>
        <w:rPr>
          <w:sz w:val="22"/>
          <w:szCs w:val="22"/>
        </w:rPr>
        <w:t xml:space="preserve">Database file stored in data/ directory</w:t>
      </w:r>
    </w:p>
    <w:p>
      <w:pPr>
        <w:spacing w:after="120"/>
      </w:pPr>
      <w:r>
        <w:rPr>
          <w:b/>
          <w:bCs/>
          <w:color w:val="CA8A04"/>
          <w:sz w:val="22"/>
          <w:szCs w:val="22"/>
        </w:rPr>
        <w:t xml:space="preserve"> [Medium] </w:t>
      </w:r>
      <w:r>
        <w:t xml:space="preserve">SQLite database file has no encryption at rest. If the server is compromised, all data including password hashes, tokens, and API keys are exposed.</w:t>
      </w:r>
    </w:p>
    <w:p>
      <w:pPr>
        <w:spacing w:after="120"/>
      </w:pPr>
      <w:r>
        <w:rPr>
          <w:b/>
          <w:bCs/>
        </w:rPr>
        <w:t xml:space="preserve">Recommendation: </w:t>
      </w:r>
      <w:r>
        <w:t xml:space="preserve">For production, use SQLCipher for encrypted-at-rest SQLite or migrate to PostgreSQL with TDE. The Tauri Mac app plan already specifies SQLCipher which would address this.</w:t>
      </w:r>
    </w:p>
    <w:p>
      <w:pPr>
        <w:pStyle w:val="Heading2"/>
      </w:pPr>
      <w:r>
        <w:t xml:space="preserve">SQL Injection Protection</w:t>
      </w:r>
    </w:p>
    <w:p>
      <w:pPr>
        <w:spacing w:after="120"/>
      </w:pPr>
      <w:r>
        <w:t xml:space="preserve">All database queries use parameterized statements with ? placeholders. Dynamic column updates (agents, users, departments, etc.) use f-string formatting for column names only, with values always parameterized. Column names are derived from code-controlled dictionaries, not from user input.</w:t>
      </w:r>
    </w:p>
    <w:p>
      <w:pPr>
        <w:spacing w:after="120"/>
      </w:pPr>
      <w:r>
        <w:rPr>
          <w:b/>
          <w:bCs/>
          <w:color w:val="16A34A"/>
          <w:sz w:val="22"/>
          <w:szCs w:val="22"/>
        </w:rPr>
        <w:t xml:space="preserve"> [Low] </w:t>
      </w:r>
      <w:r>
        <w:t xml:space="preserve">While current code is safe, the pattern of f-string SQL construction for column names could become vulnerable if future code passes user input as column names. Consider using an allowlist validator.</w:t>
      </w:r>
    </w:p>
    <w:p>
      <w:pPr>
        <w:pStyle w:val="Heading2"/>
      </w:pPr>
      <w:r>
        <w:t xml:space="preserve">XSS Protection</w:t>
      </w:r>
    </w:p>
    <w:p>
      <w:pPr>
        <w:spacing w:after="120"/>
      </w:pPr>
      <w:r>
        <w:t xml:space="preserve">The frontend uses a custom esc() function for HTML entity encoding when inserting dynamic content. Security headers include X-XSS-Protection and X-Content-Type-Options: nosniff.</w:t>
      </w:r>
    </w:p>
    <w:p>
      <w:pPr>
        <w:spacing w:after="120"/>
      </w:pPr>
      <w:r>
        <w:rPr>
          <w:b/>
          <w:bCs/>
          <w:color w:val="CA8A04"/>
          <w:sz w:val="22"/>
          <w:szCs w:val="22"/>
        </w:rPr>
        <w:t xml:space="preserve"> [Medium] </w:t>
      </w:r>
      <w:r>
        <w:t xml:space="preserve">The esc() function is manually applied. There is no Content-Security-Policy header, which would prevent inline script execution if an XSS vector is found. The formatMd() function uses innerHTML with regex-based Markdown parsing, which could be exploited with carefully crafted input.</w:t>
      </w:r>
    </w:p>
    <w:p>
      <w:pPr>
        <w:spacing w:after="120"/>
      </w:pPr>
      <w:r>
        <w:rPr>
          <w:b/>
          <w:bCs/>
        </w:rPr>
        <w:t xml:space="preserve">Recommendation: </w:t>
      </w:r>
      <w:r>
        <w:t xml:space="preserve">Add a Content-Security-Policy header. Use a proper Markdown library (e.g., DOMPurify + marked.js) instead of regex-based parsing. Audit all innerHTML assignments.</w:t>
      </w:r>
    </w:p>
    <w:p>
      <w:r>
        <w:br w:type="page"/>
      </w:r>
    </w:p>
    <w:p>
      <w:pPr>
        <w:pStyle w:val="Heading1"/>
      </w:pPr>
      <w:r>
        <w:t xml:space="preserve">Network &amp; Transport Security</w:t>
      </w:r>
    </w:p>
    <w:p>
      <w:pPr>
        <w:pStyle w:val="Heading2"/>
      </w:pPr>
      <w:r>
        <w:t xml:space="preserve">Rate Limiting</w:t>
      </w:r>
    </w:p>
    <w:p>
      <w:pPr>
        <w:spacing w:after="120"/>
      </w:pPr>
      <w:r>
        <w:t xml:space="preserve">Three-tier rate limiting: API (200/min), Auth (10/5min), Chat (30/min). IP-based with automatic 15-minute blocks after 5 failed auth attempts.</w:t>
      </w:r>
    </w:p>
    <w:p>
      <w:pPr>
        <w:spacing w:after="120"/>
      </w:pPr>
      <w:r>
        <w:rPr>
          <w:b/>
          <w:bCs/>
          <w:color w:val="CA8A04"/>
          <w:sz w:val="22"/>
          <w:szCs w:val="22"/>
        </w:rPr>
        <w:t xml:space="preserve"> [Medium] </w:t>
      </w:r>
      <w:r>
        <w:t xml:space="preserve">Rate limits are stored in-memory (Python defaultdict). They reset on server restart and are not shared across multiple workers/processes. A determined attacker can simply wait for a restart.</w:t>
      </w:r>
    </w:p>
    <w:p>
      <w:pPr>
        <w:spacing w:after="120"/>
      </w:pPr>
      <w:r>
        <w:rPr>
          <w:b/>
          <w:bCs/>
        </w:rPr>
        <w:t xml:space="preserve">Recommendation: </w:t>
      </w:r>
      <w:r>
        <w:t xml:space="preserve">Use Redis-backed rate limiting (e.g., flask-limiter with Redis backend) for persistence and multi-worker support.</w:t>
      </w:r>
    </w:p>
    <w:p>
      <w:pPr>
        <w:pStyle w:val="Heading2"/>
      </w:pPr>
      <w:r>
        <w:t xml:space="preserve">CORS Configuration</w:t>
      </w:r>
    </w:p>
    <w:p>
      <w:pPr>
        <w:spacing w:after="120"/>
      </w:pPr>
      <w:r>
        <w:rPr>
          <w:b/>
          <w:bCs/>
          <w:color w:val="EA580C"/>
          <w:sz w:val="22"/>
          <w:szCs w:val="22"/>
        </w:rPr>
        <w:t xml:space="preserve"> [High] </w:t>
      </w:r>
      <w:r>
        <w:t xml:space="preserve">CORS is configured with wildcard origin by default: CORS(app, origins='*'). This allows any website to make authenticated API requests if the user has an active session.</w:t>
      </w:r>
    </w:p>
    <w:p>
      <w:pPr>
        <w:spacing w:after="120"/>
      </w:pPr>
      <w:r>
        <w:rPr>
          <w:b/>
          <w:bCs/>
        </w:rPr>
        <w:t xml:space="preserve">Recommendation: </w:t>
      </w:r>
      <w:r>
        <w:t xml:space="preserve">Set CORS_ORIGINS to the specific domain(s) where the frontend is hosted. For local deployment, use http://localhost:5000. Never use * in production.</w:t>
      </w:r>
    </w:p>
    <w:p>
      <w:pPr>
        <w:pStyle w:val="Heading2"/>
      </w:pPr>
      <w:r>
        <w:t xml:space="preserve">Security Headers</w:t>
      </w:r>
    </w:p>
    <w:p>
      <w:pPr>
        <w:spacing w:after="120"/>
      </w:pPr>
      <w:r>
        <w:t xml:space="preserve">The following headers are set on all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7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X-Content-Type-Options</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nosniff</w:t>
            </w:r>
          </w:p>
        </w:tc>
        <w:tc>
          <w:tcPr>
            <w:tcW w:type="dxa" w:w="2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Prevents MIME-type sniffing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X-Frame-Options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clickjacking</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X-XSS-Protection</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1; mode=block</w:t>
            </w:r>
          </w:p>
        </w:tc>
        <w:tc>
          <w:tcPr>
            <w:tcW w:type="dxa" w:w="2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Legacy XSS 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Referrer-Policy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strict-origin-when-cross-origin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 referrer leakage</w:t>
            </w:r>
          </w:p>
        </w:tc>
      </w:tr>
      <w:tr>
        <w:tc>
          <w:tcPr>
            <w:tcW w:type="dxa" w:w="2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Permissions-Policy</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camera=(), microphone=(), geolocation=()</w:t>
            </w:r>
          </w:p>
        </w:tc>
        <w:tc>
          <w:tcPr>
            <w:tcW w:type="dxa" w:w="27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Disables device APIs</w:t>
            </w:r>
          </w:p>
        </w:tc>
      </w:tr>
    </w:tbl>
    <w:p>
      <w:pPr>
        <w:spacing w:after="200"/>
      </w:pPr>
    </w:p>
    <w:p>
      <w:pPr>
        <w:spacing w:after="120"/>
      </w:pPr>
      <w:r>
        <w:rPr>
          <w:b/>
          <w:bCs/>
          <w:color w:val="16A34A"/>
          <w:sz w:val="22"/>
          <w:szCs w:val="22"/>
        </w:rPr>
        <w:t xml:space="preserve"> [Low] </w:t>
      </w:r>
      <w:r>
        <w:t xml:space="preserve">Missing: Content-Security-Policy, Strict-Transport-Security (HSTS). Add these for production HTTPS deployments.</w:t>
      </w:r>
    </w:p>
    <w:p>
      <w:pPr>
        <w:pStyle w:val="Heading2"/>
      </w:pPr>
      <w:r>
        <w:t xml:space="preserve">IP Whitelisting</w:t>
      </w:r>
    </w:p>
    <w:p>
      <w:pPr>
        <w:spacing w:after="120"/>
      </w:pPr>
      <w:r>
        <w:t xml:space="preserve">Optional IP whitelist via IP_WHITELIST environment variable. When enabled, only listed IPs (plus localhost) can access the platform. Enforced before authentication check.</w:t>
      </w:r>
    </w:p>
    <w:p>
      <w:r>
        <w:br w:type="page"/>
      </w:r>
    </w:p>
    <w:p>
      <w:pPr>
        <w:pStyle w:val="Heading1"/>
      </w:pPr>
      <w:r>
        <w:t xml:space="preserve">Audit &amp; Monitoring</w:t>
      </w:r>
    </w:p>
    <w:p>
      <w:pPr>
        <w:pStyle w:val="Heading2"/>
      </w:pPr>
      <w:r>
        <w:t xml:space="preserve">Audit Logging</w:t>
      </w:r>
    </w:p>
    <w:p>
      <w:pPr>
        <w:spacing w:after="120"/>
      </w:pPr>
      <w:r>
        <w:t xml:space="preserve">All POST/PUT/DELETE requests to /api/* are automatically logged via Flask after_request middleware. Logs include timestamp, action, user ID, email, IP, resource type, resource ID, HTTP status, and severity level. Auth events (login success/failure) have dedicated logging. CSV export available at /api/admin/audit/export.</w:t>
      </w:r>
    </w:p>
    <w:p>
      <w:pPr>
        <w:pStyle w:val="Heading2"/>
      </w:pPr>
      <w:r>
        <w:t xml:space="preserve">Auth Event Tracking</w:t>
      </w:r>
    </w:p>
    <w:p>
      <w:pPr>
        <w:spacing w:after="120"/>
      </w:pPr>
      <w:r>
        <w:t xml:space="preserve">Separate auth_log table tracks all authentication events with user ID, IP address, endpoint, method, and status. Failed login attempts are tracked per-IP with automatic blocking after 5 failures. Critical events (IP blocks) generate audit entries with severity 'critical'.</w:t>
      </w:r>
    </w:p>
    <w:p>
      <w:pPr>
        <w:pStyle w:val="Heading2"/>
      </w:pPr>
      <w:r>
        <w:t xml:space="preserve">Security Dashboard</w:t>
      </w:r>
    </w:p>
    <w:p>
      <w:pPr>
        <w:spacing w:after="120"/>
      </w:pPr>
      <w:r>
        <w:t xml:space="preserve">Admin panel shows failed logins (24h), critical events (24h), and active sessions. The /api/admin/dashboard endpoint aggregates security metrics for monitoring.</w:t>
      </w:r>
    </w:p>
    <w:p>
      <w:r>
        <w:br w:type="page"/>
      </w:r>
    </w:p>
    <w:p>
      <w:pPr>
        <w:pStyle w:val="Heading1"/>
      </w:pPr>
      <w:r>
        <w:t xml:space="preserve">Remediation Priority</w:t>
      </w:r>
    </w:p>
    <w:p>
      <w:pPr>
        <w:spacing w:after="120"/>
      </w:pPr>
      <w:r>
        <w:t xml:space="preserve">Ordered by risk severity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060"/>
      </w:tblGrid>
      <w:tr>
        <w:tc>
          <w:tcPr>
            <w:tcW w:type="dxa" w:w="1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0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P0</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Encrypt API keys at rest with Fernet</w:t>
            </w:r>
          </w:p>
        </w:tc>
        <w:tc>
          <w:tcPr>
            <w:tcW w:type="dxa" w:w="1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2 hours</w:t>
            </w:r>
          </w:p>
        </w:tc>
        <w:tc>
          <w:tcPr>
            <w:tcW w:type="dxa" w:w="30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Prevents provider key exposure on DB breach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password salts (migrate to bcrypt)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rainbow table attacks</w:t>
            </w:r>
          </w:p>
        </w:tc>
      </w:tr>
      <w:tr>
        <w:tc>
          <w:tcPr>
            <w:tcW w:type="dxa" w:w="1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P1</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Restrict CORS origins</w:t>
            </w:r>
          </w:p>
        </w:tc>
        <w:tc>
          <w:tcPr>
            <w:tcW w:type="dxa" w:w="1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5 minutes</w:t>
            </w:r>
          </w:p>
        </w:tc>
        <w:tc>
          <w:tcPr>
            <w:tcW w:type="dxa" w:w="30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Prevents cross-site request forgery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CSRF protection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cross-site state-changing requests</w:t>
            </w:r>
          </w:p>
        </w:tc>
      </w:tr>
      <w:tr>
        <w:tc>
          <w:tcPr>
            <w:tcW w:type="dxa" w:w="1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P2</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Content-Security-Policy header</w:t>
            </w:r>
          </w:p>
        </w:tc>
        <w:tc>
          <w:tcPr>
            <w:tcW w:type="dxa" w:w="1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30 minutes</w:t>
            </w:r>
          </w:p>
        </w:tc>
        <w:tc>
          <w:tcPr>
            <w:tcW w:type="dxa" w:w="30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Mitigates XSS impact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password change on first login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default credential risk</w:t>
            </w:r>
          </w:p>
        </w:tc>
      </w:tr>
      <w:tr>
        <w:tc>
          <w:tcPr>
            <w:tcW w:type="dxa" w:w="1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P2</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Short-lived SSE tokens</w:t>
            </w:r>
          </w:p>
        </w:tc>
        <w:tc>
          <w:tcPr>
            <w:tcW w:type="dxa" w:w="1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2 hours</w:t>
            </w:r>
          </w:p>
        </w:tc>
        <w:tc>
          <w:tcPr>
            <w:tcW w:type="dxa" w:w="30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Prevents token leakage in URLs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Redis-backed rate limiting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rate limits across restarts</w:t>
            </w:r>
          </w:p>
        </w:tc>
      </w:tr>
      <w:tr>
        <w:tc>
          <w:tcPr>
            <w:tcW w:type="dxa" w:w="1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P3</w:t>
            </w:r>
          </w:p>
        </w:tc>
        <w:tc>
          <w:tcPr>
            <w:tcW w:type="dxa" w:w="38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SQLCipher for encrypted database</w:t>
            </w:r>
          </w:p>
        </w:tc>
        <w:tc>
          <w:tcPr>
            <w:tcW w:type="dxa" w:w="15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4 hours</w:t>
            </w:r>
          </w:p>
        </w:tc>
        <w:tc>
          <w:tcPr>
            <w:tcW w:type="dxa" w:w="306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Encrypted at rest (planned for Tauri)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decorator pattern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authorization enforcement</w:t>
            </w:r>
          </w:p>
        </w:tc>
      </w:tr>
    </w:tbl>
    <w:p>
      <w:pPr>
        <w:spacing w:after="200"/>
      </w:pPr>
    </w:p>
    <w:p>
      <w:pPr>
        <w:pStyle w:val="Heading1"/>
      </w:pPr>
      <w:r>
        <w:t xml:space="preserve">Conclusion</w:t>
      </w:r>
    </w:p>
    <w:p>
      <w:pPr>
        <w:spacing w:after="120"/>
      </w:pPr>
      <w:r>
        <w:t xml:space="preserve">MyTeam360 has a solid security foundation with industry-standard authentication patterns, comprehensive audit logging, and defense-in-depth through rate limiting, IP whitelisting, and security headers. The most critical issue is plaintext API key storage, which should be addressed before any production deployment. The remaining findings are typical of an application in active development and can be resolved incrementally using the prioritized remediation plan above.</w:t>
      </w:r>
    </w:p>
    <w:p>
      <w:pPr>
        <w:spacing w:after="120"/>
      </w:pPr>
      <w:r>
        <w:t xml:space="preserve">The platform is suitable for internal/team deployment behind a firewall today. For public internet exposure, the P0 and P1 items should be completed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2026-03-02T14:33:53.593Z</dcterms:created>
  <dcterms:modified xsi:type="dcterms:W3CDTF">2026-03-02T14:33:53.594Z</dcterms:modified>
</cp:coreProperties>
</file>

<file path=docProps/custom.xml><?xml version="1.0" encoding="utf-8"?>
<Properties xmlns="http://schemas.openxmlformats.org/officeDocument/2006/custom-properties" xmlns:vt="http://schemas.openxmlformats.org/officeDocument/2006/docPropsVTypes"/>
</file>