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thods"/>
    <w:p>
      <w:pPr>
        <w:pStyle w:val="Heading1"/>
      </w:pPr>
      <w:r>
        <w:t xml:space="preserve">Methods</w:t>
      </w:r>
    </w:p>
    <w:bookmarkStart w:id="23" w:name="benchmarking-version"/>
    <w:p>
      <w:pPr>
        <w:pStyle w:val="Heading2"/>
      </w:pPr>
      <w:r>
        <w:t xml:space="preserve">Benchmarking VERSION</w:t>
      </w:r>
    </w:p>
    <w:p>
      <w:pPr>
        <w:pStyle w:val="FirstParagraph"/>
      </w:pPr>
      <w:r>
        <w:t xml:space="preserve">We compared the detected antibiotics, memory usage, and</w:t>
      </w:r>
      <w:r>
        <w:t xml:space="preserve"> </w:t>
      </w:r>
      <w:r>
        <w:t xml:space="preserve">time usage for freezeTB version 2024-05-05</w:t>
      </w:r>
      <w:r>
        <w:t xml:space="preserve"> </w:t>
      </w:r>
      <w:hyperlink r:id="rId20">
        <w:r>
          <w:rPr>
            <w:rStyle w:val="InternetLink"/>
          </w:rPr>
          <w:t xml:space="preserve">https://github.com/jeremybuttler/freezeTB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TBProfiler version 6.2.0 and database version 82777ea</w:t>
      </w:r>
      <w:r>
        <w:t xml:space="preserve"> </w:t>
      </w:r>
      <w:r>
        <w:t xml:space="preserve">(</w:t>
      </w:r>
      <w:hyperlink w:anchor="ref-phelan-2019-pmid-31234910">
        <w:r>
          <w:rPr>
            <w:rStyle w:val="InternetLink"/>
          </w:rPr>
          <w:t xml:space="preserve">Phelan et al. 2019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For TBProfiler we used Nanopore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--platform nanopore</w:t>
      </w:r>
      <w:r>
        <w:t xml:space="preserve">) and bcftools for variant calling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--caller bcftools</w:t>
      </w:r>
      <w:r>
        <w:t xml:space="preserve">), to output and csv file (</w:t>
      </w:r>
      <w:r>
        <w:rPr>
          <w:rStyle w:val="VerbatimChar"/>
        </w:rPr>
        <w:t xml:space="preserve">--csv</w:t>
      </w:r>
      <w:r>
        <w:t xml:space="preserve">)</w:t>
      </w:r>
      <w:r>
        <w:t xml:space="preserve"> </w:t>
      </w:r>
      <w:r>
        <w:t xml:space="preserve">with the detected AMRs and spoligotype (</w:t>
      </w:r>
      <w:r>
        <w:rPr>
          <w:rStyle w:val="VerbatimChar"/>
        </w:rPr>
        <w:t xml:space="preserve">--spoligotype</w:t>
      </w:r>
      <w:r>
        <w:t xml:space="preserve">)</w:t>
      </w:r>
      <w:r>
        <w:t xml:space="preserve"> </w:t>
      </w:r>
      <w:r>
        <w:t xml:space="preserve">for the input reads (</w:t>
      </w:r>
      <w:r>
        <w:rPr>
          <w:rStyle w:val="VerbatimChar"/>
        </w:rPr>
        <w:t xml:space="preserve">--read1 reads.fastq</w:t>
      </w:r>
      <w:r>
        <w:t xml:space="preserve">).</w:t>
      </w:r>
      <w:r>
        <w:t xml:space="preserve"> </w:t>
      </w:r>
      <w:r>
        <w:t xml:space="preserve">We extracted the spoligotype and antibiotics that were</w:t>
      </w:r>
      <w:r>
        <w:t xml:space="preserve"> </w:t>
      </w:r>
      <w:r>
        <w:t xml:space="preserve">not listed as</w:t>
      </w:r>
      <w:r>
        <w:t xml:space="preserve"> </w:t>
      </w:r>
      <w:r>
        <w:t xml:space="preserve">“</w:t>
      </w:r>
      <w:r>
        <w:t xml:space="preserve">Uncertain significance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 assoc w R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Mutation from literature</w:t>
      </w:r>
      <w:r>
        <w:t xml:space="preserve">”</w:t>
      </w:r>
      <w:r>
        <w:t xml:space="preserve"> </w:t>
      </w:r>
      <w:r>
        <w:t xml:space="preserve">using an awk script</w:t>
      </w:r>
      <w:r>
        <w:t xml:space="preserve"> </w:t>
      </w:r>
      <w:hyperlink r:id="rId21">
        <w:r>
          <w:rPr>
            <w:rStyle w:val="InternetLink"/>
          </w:rPr>
          <w:t xml:space="preserve">https://github.com/jeremybutter/freezeTB/benchmark/TBProfiler-process.awk</w:t>
        </w:r>
      </w:hyperlink>
      <w:r>
        <w:t xml:space="preserve">.</w:t>
      </w:r>
      <w:r>
        <w:t xml:space="preserve"> </w:t>
      </w:r>
      <w:r>
        <w:t xml:space="preserve">Next we built an consensus with bcftools consensus version</w:t>
      </w:r>
      <w:r>
        <w:t xml:space="preserve"> </w:t>
      </w:r>
      <w:r>
        <w:t xml:space="preserve">1.20</w:t>
      </w:r>
      <w:r>
        <w:t xml:space="preserve"> </w:t>
      </w:r>
      <w:r>
        <w:t xml:space="preserve">(</w:t>
      </w:r>
      <w:hyperlink w:anchor="ref-danecek-2021-pmid-33590861">
        <w:r>
          <w:rPr>
            <w:rStyle w:val="InternetLink"/>
          </w:rPr>
          <w:t xml:space="preserve">Danecek et al. 2021</w:t>
        </w:r>
      </w:hyperlink>
      <w:r>
        <w:t xml:space="preserve">)</w:t>
      </w:r>
      <w:r>
        <w:t xml:space="preserve"> </w:t>
      </w:r>
      <w:r>
        <w:t xml:space="preserve">using the vcf file</w:t>
      </w:r>
      <w:r>
        <w:t xml:space="preserve"> </w:t>
      </w:r>
      <w:r>
        <w:t xml:space="preserve">made by TBProfiler and the NC000962.3 reference included</w:t>
      </w:r>
      <w:r>
        <w:t xml:space="preserve"> </w:t>
      </w:r>
      <w:r>
        <w:t xml:space="preserve">with the TBProfiler database (tbdb.fasta).</w:t>
      </w:r>
      <w:r>
        <w:t xml:space="preserve"> </w:t>
      </w:r>
      <w:r>
        <w:t xml:space="preserve">We automated these steps using an bash script</w:t>
      </w:r>
      <w:r>
        <w:t xml:space="preserve"> </w:t>
      </w:r>
      <w:hyperlink r:id="rId22">
        <w:r>
          <w:rPr>
            <w:rStyle w:val="InternetLink"/>
          </w:rPr>
          <w:t xml:space="preserve">https://github.com/jeremybutter/freezeTB/benchmark/TBOneBench.sh</w:t>
        </w:r>
      </w:hyperlink>
      <w:r>
        <w:t xml:space="preserve">.</w:t>
      </w:r>
    </w:p>
    <w:p>
      <w:pPr>
        <w:pStyle w:val="TextBody"/>
      </w:pPr>
      <w:r>
        <w:t xml:space="preserve">To detect AMRs with freezeTB</w:t>
      </w:r>
      <w:r>
        <w:t xml:space="preserve"> </w:t>
      </w:r>
      <w:hyperlink r:id="rId20">
        <w:r>
          <w:rPr>
            <w:rStyle w:val="InternetLink"/>
          </w:rPr>
          <w:t xml:space="preserve">https://github.com/jeremybuttler/freezeTB</w:t>
        </w:r>
      </w:hyperlink>
      <w:r>
        <w:t xml:space="preserve">, we used an sam file (</w:t>
      </w:r>
      <w:r>
        <w:rPr>
          <w:rStyle w:val="VerbatimChar"/>
        </w:rPr>
        <w:t xml:space="preserve">-sam reads.sam</w:t>
      </w:r>
      <w:r>
        <w:t xml:space="preserve">) with reads</w:t>
      </w:r>
      <w:r>
        <w:t xml:space="preserve"> </w:t>
      </w:r>
      <w:r>
        <w:t xml:space="preserve">mapped to the NC000962.3 reference genome and the 2nd</w:t>
      </w:r>
      <w:r>
        <w:t xml:space="preserve"> </w:t>
      </w:r>
      <w:r>
        <w:t xml:space="preserve">edition of the WHO’s tuberculosis drug resistant</w:t>
      </w:r>
      <w:r>
        <w:t xml:space="preserve"> </w:t>
      </w:r>
      <w:r>
        <w:t xml:space="preserve">mutation catalog</w:t>
      </w:r>
      <w:r>
        <w:t xml:space="preserve"> </w:t>
      </w:r>
      <w:r>
        <w:t xml:space="preserve">(</w:t>
      </w:r>
      <w:hyperlink w:anchor="ref-WHO-TB-2023">
        <w:r>
          <w:rPr>
            <w:rStyle w:val="InternetLink"/>
          </w:rPr>
          <w:t xml:space="preserve">Organization 2023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We mapped the reads to NC000962.3 using minimap2 version</w:t>
      </w:r>
      <w:r>
        <w:t xml:space="preserve"> </w:t>
      </w:r>
      <w:r>
        <w:t xml:space="preserve">2.28-r1209</w:t>
      </w:r>
      <w:r>
        <w:t xml:space="preserve"> </w:t>
      </w:r>
      <w:r>
        <w:t xml:space="preserve">(</w:t>
      </w:r>
      <w:hyperlink w:anchor="ref-li-2018-pmid-29750242">
        <w:r>
          <w:rPr>
            <w:rStyle w:val="InternetLink"/>
          </w:rPr>
          <w:t xml:space="preserve">Li 2018</w:t>
        </w:r>
      </w:hyperlink>
      <w:r>
        <w:t xml:space="preserve">;</w:t>
      </w:r>
      <w:r>
        <w:t xml:space="preserve"> </w:t>
      </w:r>
      <w:hyperlink w:anchor="ref-li-2021-pmid-34623391">
        <w:r>
          <w:rPr>
            <w:rStyle w:val="InternetLink"/>
          </w:rPr>
          <w:t xml:space="preserve">Li 2021</w:t>
        </w:r>
      </w:hyperlink>
      <w:r>
        <w:t xml:space="preserve"> </w:t>
      </w:r>
      <w:r>
        <w:t xml:space="preserve">)</w:t>
      </w:r>
      <w:r>
        <w:t xml:space="preserve"> </w:t>
      </w:r>
      <w:r>
        <w:t xml:space="preserve">with Nanopore settings (</w:t>
      </w:r>
      <w:r>
        <w:rPr>
          <w:rStyle w:val="VerbatimChar"/>
        </w:rPr>
        <w:t xml:space="preserve">-x map-ont</w:t>
      </w:r>
      <w:r>
        <w:t xml:space="preserve">) to make an sam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-a</w:t>
      </w:r>
      <w:r>
        <w:t xml:space="preserve">).</w:t>
      </w:r>
      <w:r>
        <w:t xml:space="preserve"> </w:t>
      </w:r>
      <w:r>
        <w:t xml:space="preserve">After running freezeTB, our automated bash script</w:t>
      </w:r>
      <w:r>
        <w:t xml:space="preserve"> </w:t>
      </w:r>
      <w:r>
        <w:t xml:space="preserve">(TBOneBench.sh) extracted the detected antibiotics and</w:t>
      </w:r>
      <w:r>
        <w:t xml:space="preserve"> </w:t>
      </w:r>
      <w:r>
        <w:t xml:space="preserve">spoligotypes.</w:t>
      </w:r>
    </w:p>
    <w:p>
      <w:pPr>
        <w:pStyle w:val="TextBody"/>
      </w:pPr>
      <w:r>
        <w:t xml:space="preserve">We compared how close freezeTB consensuses were to the</w:t>
      </w:r>
      <w:r>
        <w:t xml:space="preserve"> </w:t>
      </w:r>
      <w:r>
        <w:t xml:space="preserve">consensus made by TBProfiler with minimap2 and filtsam</w:t>
      </w:r>
      <w:r>
        <w:t xml:space="preserve"> </w:t>
      </w:r>
      <w:r>
        <w:t xml:space="preserve">(from freezeTB).</w:t>
      </w:r>
      <w:r>
        <w:t xml:space="preserve"> </w:t>
      </w:r>
      <w:r>
        <w:t xml:space="preserve">The consensus from freezeTB was mapped to the consensus</w:t>
      </w:r>
      <w:r>
        <w:t xml:space="preserve"> </w:t>
      </w:r>
      <w:r>
        <w:t xml:space="preserve">from TBProfiler using minimap2 to output an sam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-a</w:t>
      </w:r>
      <w:r>
        <w:t xml:space="preserve">) with an eqx cigar entry (</w:t>
      </w:r>
      <w:r>
        <w:rPr>
          <w:rStyle w:val="VerbatimChar"/>
        </w:rPr>
        <w:t xml:space="preserve">--eqx</w:t>
      </w:r>
      <w:r>
        <w:t xml:space="preserve">).</w:t>
      </w:r>
      <w:r>
        <w:t xml:space="preserve"> </w:t>
      </w:r>
      <w:r>
        <w:t xml:space="preserve">We then used filtsam to convert the sam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-sam mapping.sam</w:t>
      </w:r>
      <w:r>
        <w:t xml:space="preserve">) into an tsv with the number</w:t>
      </w:r>
      <w:r>
        <w:t xml:space="preserve"> </w:t>
      </w:r>
      <w:r>
        <w:t xml:space="preserve">non-anonymous and anonymous (</w:t>
      </w:r>
      <w:r>
        <w:rPr>
          <w:rStyle w:val="VerbatimChar"/>
        </w:rPr>
        <w:t xml:space="preserve">-p-n</w:t>
      </w:r>
      <w:r>
        <w:t xml:space="preserve">) matches, snps,</w:t>
      </w:r>
      <w:r>
        <w:t xml:space="preserve"> </w:t>
      </w:r>
      <w:r>
        <w:t xml:space="preserve">indels, and masked bases (</w:t>
      </w:r>
      <w:r>
        <w:rPr>
          <w:rStyle w:val="VerbatimChar"/>
        </w:rPr>
        <w:t xml:space="preserve">-out-stats</w:t>
      </w:r>
      <w:r>
        <w:t xml:space="preserve">).</w:t>
      </w:r>
      <w:r>
        <w:t xml:space="preserve"> </w:t>
      </w:r>
      <w:r>
        <w:t xml:space="preserve">Also, for cases were an reference genome was provided, we</w:t>
      </w:r>
      <w:r>
        <w:t xml:space="preserve"> </w:t>
      </w:r>
      <w:r>
        <w:t xml:space="preserve">used the same steps to get the accuracy of consensuses</w:t>
      </w:r>
      <w:r>
        <w:t xml:space="preserve"> </w:t>
      </w:r>
      <w:r>
        <w:t xml:space="preserve">from freezeTB and TBPofiler.</w:t>
      </w:r>
    </w:p>
    <w:p>
      <w:pPr>
        <w:pStyle w:val="TextBody"/>
      </w:pPr>
      <w:r>
        <w:t xml:space="preserve">We also compared the time and memory usage of both</w:t>
      </w:r>
      <w:r>
        <w:t xml:space="preserve"> </w:t>
      </w:r>
      <w:r>
        <w:t xml:space="preserve">TBProfiler and freezeTB.</w:t>
      </w:r>
      <w:r>
        <w:t xml:space="preserve"> </w:t>
      </w:r>
      <w:r>
        <w:t xml:space="preserve">For time and memory comparisons we used an desktop</w:t>
      </w:r>
      <w:r>
        <w:t xml:space="preserve"> </w:t>
      </w:r>
      <w:r>
        <w:t xml:space="preserve">running Ubuntu, with an AMD Ryzen 9 5950X 16 core cpu,</w:t>
      </w:r>
      <w:r>
        <w:t xml:space="preserve"> </w:t>
      </w:r>
      <w:r>
        <w:t xml:space="preserve">and DDR4 ram.</w:t>
      </w:r>
      <w:r>
        <w:t xml:space="preserve"> </w:t>
      </w:r>
      <w:r>
        <w:t xml:space="preserve">We measured the time using gnutime (</w:t>
      </w:r>
      <w:r>
        <w:rPr>
          <w:rStyle w:val="VerbatimChar"/>
        </w:rPr>
        <w:t xml:space="preserve">/usr/bin/time) to   find the elapsed time (</w:t>
      </w:r>
      <w:r>
        <w:t xml:space="preserve">%e</w:t>
      </w:r>
      <w:r>
        <w:rPr>
          <w:rStyle w:val="VerbatimChar"/>
        </w:rPr>
        <w:t xml:space="preserve">), the resident memory usage   (actual memory used) (</w:t>
      </w:r>
      <w:r>
        <w:t xml:space="preserve">%M</w:t>
      </w:r>
      <w:r>
        <w:rPr>
          <w:rStyle w:val="VerbatimChar"/>
        </w:rPr>
        <w:t xml:space="preserve">), and the processor usage   (</w:t>
      </w:r>
      <w:r>
        <w:t xml:space="preserve">%P</w:t>
      </w:r>
      <w:r>
        <w:rPr>
          <w:rStyle w:val="VerbatimChar"/>
        </w:rPr>
        <w:t xml:space="preserve">) (</w:t>
      </w:r>
      <w:r>
        <w:t xml:space="preserve">/usr/bin/time -f “%e</w:t>
      </w:r>
      <w:r>
        <w:t xml:space="preserve">raphs comparing time, memory usage, and output for</w:t>
      </w:r>
      <w:r>
        <w:t xml:space="preserve"> </w:t>
      </w:r>
      <w:r>
        <w:t xml:space="preserve">freezeTB and TBProfile were made in R version 3.6.3</w:t>
      </w:r>
      <w:r>
        <w:t xml:space="preserve"> </w:t>
      </w:r>
      <w:r>
        <w:t xml:space="preserve">(</w:t>
      </w:r>
      <w:hyperlink w:anchor="ref-R">
        <w:r>
          <w:rPr>
            <w:rStyle w:val="InternetLink"/>
          </w:rPr>
          <w:t xml:space="preserve">R Core Team 2020</w:t>
        </w:r>
      </w:hyperlink>
      <w:r>
        <w:t xml:space="preserve">)</w:t>
      </w:r>
      <w:r>
        <w:t xml:space="preserve"> </w:t>
      </w:r>
      <w:r>
        <w:t xml:space="preserve">using the ggplot2 version 3.2.1</w:t>
      </w:r>
      <w:r>
        <w:t xml:space="preserve"> </w:t>
      </w:r>
      <w:r>
        <w:t xml:space="preserve">(</w:t>
      </w:r>
      <w:hyperlink w:anchor="ref-ggplot2">
        <w:r>
          <w:rPr>
            <w:rStyle w:val="InternetLink"/>
          </w:rPr>
          <w:t xml:space="preserve">Wickham 2016</w:t>
        </w:r>
      </w:hyperlink>
      <w:r>
        <w:t xml:space="preserve">)</w:t>
      </w:r>
      <w:r>
        <w:t xml:space="preserve">,</w:t>
      </w:r>
      <w:r>
        <w:t xml:space="preserve"> </w:t>
      </w:r>
      <w:r>
        <w:t xml:space="preserve">data.table version 1.12.8</w:t>
      </w:r>
      <w:r>
        <w:t xml:space="preserve"> </w:t>
      </w:r>
      <w:r>
        <w:t xml:space="preserve">(</w:t>
      </w:r>
      <w:hyperlink w:anchor="ref-dataTbl">
        <w:r>
          <w:rPr>
            <w:rStyle w:val="InternetLink"/>
          </w:rPr>
          <w:t xml:space="preserve">Dowle and Srinivasan 2019</w:t>
        </w:r>
      </w:hyperlink>
      <w:r>
        <w:t xml:space="preserve">)</w:t>
      </w:r>
      <w:r>
        <w:t xml:space="preserve">, and viridisLite</w:t>
      </w:r>
      <w:r>
        <w:t xml:space="preserve"> </w:t>
      </w:r>
      <w:r>
        <w:t xml:space="preserve">0.3.0</w:t>
      </w:r>
      <w:r>
        <w:t xml:space="preserve"> </w:t>
      </w:r>
      <w:r>
        <w:t xml:space="preserve">(</w:t>
      </w:r>
      <w:hyperlink w:anchor="ref-viridisLite">
        <w:r>
          <w:rPr>
            <w:rStyle w:val="InternetLink"/>
          </w:rPr>
          <w:t xml:space="preserve">Garnier 2018</w:t>
        </w:r>
      </w:hyperlink>
      <w:r>
        <w:t xml:space="preserve">)</w:t>
      </w:r>
      <w:r>
        <w:t xml:space="preserve"> </w:t>
      </w:r>
      <w:r>
        <w:t xml:space="preserve">packages.</w:t>
      </w:r>
    </w:p>
    <w:bookmarkEnd w:id="23"/>
    <w:bookmarkEnd w:id="24"/>
    <w:bookmarkStart w:id="59" w:name="supplemental"/>
    <w:p>
      <w:pPr>
        <w:pStyle w:val="Heading1"/>
      </w:pPr>
      <w:r>
        <w:t xml:space="preserve">Supplemental</w:t>
      </w:r>
    </w:p>
    <w:bookmarkStart w:id="58" w:name="supplemental-methods"/>
    <w:p>
      <w:pPr>
        <w:pStyle w:val="Heading2"/>
      </w:pPr>
      <w:r>
        <w:t xml:space="preserve">Supplemental methods</w:t>
      </w:r>
    </w:p>
    <w:bookmarkStart w:id="57" w:name="how-freezetb-works"/>
    <w:p>
      <w:pPr>
        <w:pStyle w:val="Heading3"/>
      </w:pPr>
      <w:r>
        <w:t xml:space="preserve">How freezeTB works</w:t>
      </w:r>
    </w:p>
    <w:p>
      <w:pPr>
        <w:pStyle w:val="CaptionedFigure"/>
      </w:pPr>
      <w:bookmarkStart w:id="28" w:name="fig:freezeTBDiagram"/>
      <w:r>
        <w:drawing>
          <wp:inline>
            <wp:extent cx="4562825" cy="1608610"/>
            <wp:effectExtent b="0" l="0" r="0" t="0"/>
            <wp:docPr descr="Figure Sup. 1: An flow digram showing an overview of freezeTB." title="" id="26" name="Picture"/>
            <a:graphic>
              <a:graphicData uri="http://schemas.openxmlformats.org/drawingml/2006/picture">
                <pic:pic>
                  <pic:nvPicPr>
                    <pic:cNvPr descr="../diagrams/freezeTb-diagra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825" cy="160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Sup. 1: An flow digram showing an overview of freezeTB.</w:t>
      </w:r>
    </w:p>
    <w:p>
      <w:pPr>
        <w:pStyle w:val="TextBody"/>
      </w:pPr>
      <w:r>
        <w:t xml:space="preserve">FreezeTb is an program that can detect AMRs, MIRU-VNTR</w:t>
      </w:r>
      <w:r>
        <w:t xml:space="preserve"> </w:t>
      </w:r>
      <w:r>
        <w:t xml:space="preserve">lineages, spoligotypes, and build an consensus from an</w:t>
      </w:r>
      <w:r>
        <w:t xml:space="preserve"> </w:t>
      </w:r>
      <w:r>
        <w:t xml:space="preserve">sam file of Nanopore sequence reads mapped to the</w:t>
      </w:r>
      <w:r>
        <w:t xml:space="preserve"> </w:t>
      </w:r>
      <w:r>
        <w:t xml:space="preserve">NC000962.3 reference genomes.</w:t>
      </w:r>
      <w:r>
        <w:t xml:space="preserve"> </w:t>
      </w:r>
      <w:r>
        <w:t xml:space="preserve">The output of freezeTB is an tsv file with the detected</w:t>
      </w:r>
      <w:r>
        <w:t xml:space="preserve"> </w:t>
      </w:r>
      <w:r>
        <w:t xml:space="preserve">AMRs (for reads and consensus), an tsv file with the</w:t>
      </w:r>
      <w:r>
        <w:t xml:space="preserve"> </w:t>
      </w:r>
      <w:r>
        <w:t xml:space="preserve">consensus MIRU-VNTR lineages, and an tsv file with the</w:t>
      </w:r>
      <w:r>
        <w:t xml:space="preserve"> </w:t>
      </w:r>
      <w:r>
        <w:t xml:space="preserve">consensus spoligotype.</w:t>
      </w:r>
      <w:r>
        <w:t xml:space="preserve"> </w:t>
      </w:r>
      <w:r>
        <w:t xml:space="preserve">FreezeTb also outputs an tsv with the mean read depth per</w:t>
      </w:r>
      <w:r>
        <w:t xml:space="preserve"> </w:t>
      </w:r>
      <w:r>
        <w:t xml:space="preserve">gene and if requested an graph of read depth and</w:t>
      </w:r>
      <w:r>
        <w:t xml:space="preserve"> </w:t>
      </w:r>
      <w:r>
        <w:t xml:space="preserve">coverage that compares the filtered reads to the</w:t>
      </w:r>
      <w:r>
        <w:t xml:space="preserve"> </w:t>
      </w:r>
      <w:r>
        <w:t xml:space="preserve">unfiltered reads.</w:t>
      </w:r>
    </w:p>
    <w:bookmarkStart w:id="29" w:name="read-depth-and-coverage-reports"/>
    <w:p>
      <w:pPr>
        <w:pStyle w:val="Heading4"/>
      </w:pPr>
      <w:r>
        <w:t xml:space="preserve">Read depth and coverage reports</w:t>
      </w:r>
    </w:p>
    <w:p>
      <w:pPr>
        <w:pStyle w:val="FirstParagraph"/>
      </w:pPr>
      <w:r>
        <w:t xml:space="preserve">To find the mean read depth and coverage for each gene we</w:t>
      </w:r>
      <w:r>
        <w:t xml:space="preserve"> </w:t>
      </w:r>
      <w:r>
        <w:t xml:space="preserve">build an histogram of trimmed (soft masked bases</w:t>
      </w:r>
      <w:r>
        <w:t xml:space="preserve"> </w:t>
      </w:r>
      <w:r>
        <w:t xml:space="preserve">removed) unfiltered and filtered read depths of each</w:t>
      </w:r>
      <w:r>
        <w:t xml:space="preserve"> </w:t>
      </w:r>
      <w:r>
        <w:t xml:space="preserve">position supported (Figure Sup. 1).</w:t>
      </w:r>
      <w:r>
        <w:t xml:space="preserve"> </w:t>
      </w:r>
      <w:r>
        <w:t xml:space="preserve">To make the filtered histogram we removed any reads with</w:t>
      </w:r>
      <w:r>
        <w:t xml:space="preserve"> </w:t>
      </w:r>
      <w:r>
        <w:t xml:space="preserve">an mapping quality under 15, an median Q-score under 7,</w:t>
      </w:r>
      <w:r>
        <w:t xml:space="preserve"> </w:t>
      </w:r>
      <w:r>
        <w:t xml:space="preserve">an mean Q-score under 7, and that mapped to less then</w:t>
      </w:r>
      <w:r>
        <w:t xml:space="preserve"> </w:t>
      </w:r>
      <w:r>
        <w:t xml:space="preserve">200 reference bases.</w:t>
      </w:r>
      <w:r>
        <w:t xml:space="preserve"> </w:t>
      </w:r>
      <w:r>
        <w:t xml:space="preserve">We then find the mean read depth for all mapped genes or</w:t>
      </w:r>
      <w:r>
        <w:t xml:space="preserve"> </w:t>
      </w:r>
      <w:r>
        <w:t xml:space="preserve">gene fragments that have at least 20x read depth.</w:t>
      </w:r>
      <w:r>
        <w:t xml:space="preserve"> </w:t>
      </w:r>
      <w:r>
        <w:t xml:space="preserve">Next, we make the mean read depth and coverage graphs</w:t>
      </w:r>
      <w:r>
        <w:t xml:space="preserve"> </w:t>
      </w:r>
      <w:r>
        <w:t xml:space="preserve">using an R</w:t>
      </w:r>
      <w:r>
        <w:t xml:space="preserve"> </w:t>
      </w:r>
      <w:r>
        <w:t xml:space="preserve">(</w:t>
      </w:r>
      <w:hyperlink w:anchor="ref-R">
        <w:r>
          <w:rPr>
            <w:rStyle w:val="InternetLink"/>
          </w:rPr>
          <w:t xml:space="preserve">R Core Team 2020</w:t>
        </w:r>
      </w:hyperlink>
      <w:r>
        <w:t xml:space="preserve">)</w:t>
      </w:r>
      <w:r>
        <w:t xml:space="preserve"> </w:t>
      </w:r>
      <w:r>
        <w:t xml:space="preserve">script that uses ggplot2</w:t>
      </w:r>
      <w:r>
        <w:t xml:space="preserve"> </w:t>
      </w:r>
      <w:r>
        <w:t xml:space="preserve">(</w:t>
      </w:r>
      <w:hyperlink w:anchor="ref-ggplot2">
        <w:r>
          <w:rPr>
            <w:rStyle w:val="InternetLink"/>
          </w:rPr>
          <w:t xml:space="preserve">Wickham 2016</w:t>
        </w:r>
      </w:hyperlink>
      <w:r>
        <w:t xml:space="preserve">)</w:t>
      </w:r>
      <w:r>
        <w:t xml:space="preserve">,</w:t>
      </w:r>
      <w:r>
        <w:t xml:space="preserve"> </w:t>
      </w:r>
      <w:r>
        <w:t xml:space="preserve">virdisLite</w:t>
      </w:r>
      <w:r>
        <w:t xml:space="preserve"> </w:t>
      </w:r>
      <w:r>
        <w:t xml:space="preserve">(</w:t>
      </w:r>
      <w:hyperlink w:anchor="ref-viridisLite">
        <w:r>
          <w:rPr>
            <w:rStyle w:val="InternetLink"/>
          </w:rPr>
          <w:t xml:space="preserve">Garnier 2018</w:t>
        </w:r>
      </w:hyperlink>
      <w:r>
        <w:t xml:space="preserve">)</w:t>
      </w:r>
      <w:r>
        <w:t xml:space="preserve">, data.table</w:t>
      </w:r>
      <w:r>
        <w:t xml:space="preserve"> </w:t>
      </w:r>
      <w:r>
        <w:t xml:space="preserve">(</w:t>
      </w:r>
      <w:hyperlink w:anchor="ref-dataTbl">
        <w:r>
          <w:rPr>
            <w:rStyle w:val="InternetLink"/>
          </w:rPr>
          <w:t xml:space="preserve">Dowle and Srinivasan 2019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the WHO’s 2023 tuberculosis catalog</w:t>
      </w:r>
      <w:r>
        <w:t xml:space="preserve"> </w:t>
      </w:r>
      <w:r>
        <w:t xml:space="preserve">(</w:t>
      </w:r>
      <w:hyperlink w:anchor="ref-WHO-TB-2023">
        <w:r>
          <w:rPr>
            <w:rStyle w:val="InternetLink"/>
          </w:rPr>
          <w:t xml:space="preserve">Organization 2023</w:t>
        </w:r>
      </w:hyperlink>
      <w:r>
        <w:t xml:space="preserve">)</w:t>
      </w:r>
      <w:r>
        <w:t xml:space="preserve">.</w:t>
      </w:r>
    </w:p>
    <w:bookmarkEnd w:id="29"/>
    <w:bookmarkStart w:id="30" w:name="primer-masking"/>
    <w:p>
      <w:pPr>
        <w:pStyle w:val="Heading4"/>
      </w:pPr>
      <w:r>
        <w:t xml:space="preserve">Primer masking</w:t>
      </w:r>
    </w:p>
    <w:p>
      <w:pPr>
        <w:pStyle w:val="FirstParagraph"/>
      </w:pPr>
      <w:r>
        <w:t xml:space="preserve">Before building the consensus, we mask any primers in the</w:t>
      </w:r>
      <w:r>
        <w:t xml:space="preserve"> </w:t>
      </w:r>
      <w:r>
        <w:t xml:space="preserve">reads using the primer mapping coordinates on the</w:t>
      </w:r>
      <w:r>
        <w:t xml:space="preserve"> </w:t>
      </w:r>
      <w:r>
        <w:t xml:space="preserve">references (NC000962.3) genome.</w:t>
      </w:r>
    </w:p>
    <w:bookmarkEnd w:id="30"/>
    <w:bookmarkStart w:id="31" w:name="consensus-building"/>
    <w:p>
      <w:pPr>
        <w:pStyle w:val="Heading4"/>
      </w:pPr>
      <w:r>
        <w:t xml:space="preserve">Consensus building</w:t>
      </w:r>
    </w:p>
    <w:p>
      <w:pPr>
        <w:pStyle w:val="FirstParagraph"/>
      </w:pPr>
      <w:r>
        <w:t xml:space="preserve">For consensus building Figure Sup. 1, we use an</w:t>
      </w:r>
      <w:r>
        <w:t xml:space="preserve"> </w:t>
      </w:r>
      <w:r>
        <w:t xml:space="preserve">majority consensus step that is somewhat similar to Ivar</w:t>
      </w:r>
      <w:r>
        <w:t xml:space="preserve"> </w:t>
      </w:r>
      <w:r>
        <w:t xml:space="preserve">(</w:t>
      </w:r>
      <w:hyperlink w:anchor="ref-Grubaugh-2019-pmid-30621750">
        <w:r>
          <w:rPr>
            <w:rStyle w:val="InternetLink"/>
          </w:rPr>
          <w:t xml:space="preserve">Grubaugh et al. 2019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We first remove any SNPs, matches, or insertions from the</w:t>
      </w:r>
      <w:r>
        <w:t xml:space="preserve"> </w:t>
      </w:r>
      <w:r>
        <w:t xml:space="preserve">masked reads that have an quality score under seven.</w:t>
      </w:r>
      <w:r>
        <w:t xml:space="preserve"> </w:t>
      </w:r>
      <w:r>
        <w:t xml:space="preserve">After adding all reads to the consensus, we then collapse</w:t>
      </w:r>
      <w:r>
        <w:t xml:space="preserve"> </w:t>
      </w:r>
      <w:r>
        <w:t xml:space="preserve">the consensus by keeping the most supported SNP, match,</w:t>
      </w:r>
      <w:r>
        <w:t xml:space="preserve"> </w:t>
      </w:r>
      <w:r>
        <w:t xml:space="preserve">deletion or insertion.</w:t>
      </w:r>
    </w:p>
    <w:p>
      <w:pPr>
        <w:pStyle w:val="TextBody"/>
      </w:pPr>
      <w:r>
        <w:t xml:space="preserve">Next, we mask SNPs and matches or remove unsupported</w:t>
      </w:r>
      <w:r>
        <w:t xml:space="preserve"> </w:t>
      </w:r>
      <w:r>
        <w:t xml:space="preserve">indels in the consensus that have low percentage of</w:t>
      </w:r>
      <w:r>
        <w:t xml:space="preserve"> </w:t>
      </w:r>
      <w:r>
        <w:t xml:space="preserve">mapped reads.</w:t>
      </w:r>
      <w:r>
        <w:t xml:space="preserve"> </w:t>
      </w:r>
      <w:r>
        <w:t xml:space="preserve">For SNPs and matches, we mask any position that has less</w:t>
      </w:r>
      <w:r>
        <w:t xml:space="preserve"> </w:t>
      </w:r>
      <w:r>
        <w:t xml:space="preserve">then 50% support.</w:t>
      </w:r>
      <w:r>
        <w:t xml:space="preserve"> </w:t>
      </w:r>
      <w:r>
        <w:t xml:space="preserve">While for indels, we require at least 70% support.</w:t>
      </w:r>
    </w:p>
    <w:p>
      <w:pPr>
        <w:pStyle w:val="TextBody"/>
      </w:pPr>
      <w:r>
        <w:t xml:space="preserve">To find the percentage of support we divide the number</w:t>
      </w:r>
      <w:r>
        <w:t xml:space="preserve"> </w:t>
      </w:r>
      <w:r>
        <w:t xml:space="preserve">of reads supporting the SNP, match, or indel by an</w:t>
      </w:r>
      <w:r>
        <w:t xml:space="preserve"> </w:t>
      </w:r>
      <w:r>
        <w:t xml:space="preserve">total.</w:t>
      </w:r>
      <w:r>
        <w:t xml:space="preserve"> </w:t>
      </w:r>
      <w:r>
        <w:t xml:space="preserve">The total for SNPs and matches is the number of reads</w:t>
      </w:r>
      <w:r>
        <w:t xml:space="preserve"> </w:t>
      </w:r>
      <w:r>
        <w:t xml:space="preserve">supporting the position without anonymous bases.</w:t>
      </w:r>
      <w:r>
        <w:t xml:space="preserve"> </w:t>
      </w:r>
      <w:r>
        <w:t xml:space="preserve">For deletions, our total is the number of mapped reads.</w:t>
      </w:r>
      <w:r>
        <w:t xml:space="preserve"> </w:t>
      </w:r>
      <w:r>
        <w:t xml:space="preserve">While for insertions, we use the number of mapped reads</w:t>
      </w:r>
      <w:r>
        <w:t xml:space="preserve"> </w:t>
      </w:r>
      <w:r>
        <w:t xml:space="preserve">from the neighbor with the highest number of reads.</w:t>
      </w:r>
    </w:p>
    <w:p>
      <w:pPr>
        <w:pStyle w:val="TextBody"/>
      </w:pPr>
      <w:r>
        <w:t xml:space="preserve">Before outputting the consensus, we create fragments by</w:t>
      </w:r>
      <w:r>
        <w:t xml:space="preserve"> </w:t>
      </w:r>
      <w:r>
        <w:t xml:space="preserve">removing any position that has less than 20x read depth.</w:t>
      </w:r>
      <w:r>
        <w:t xml:space="preserve"> </w:t>
      </w:r>
      <w:r>
        <w:t xml:space="preserve">We then remove any fragment that is under 200 bases long.</w:t>
      </w:r>
      <w:r>
        <w:t xml:space="preserve"> </w:t>
      </w:r>
      <w:r>
        <w:t xml:space="preserve">Finally, we output the fragments as an sam file.</w:t>
      </w:r>
    </w:p>
    <w:bookmarkEnd w:id="31"/>
    <w:bookmarkStart w:id="32" w:name="amr-detection"/>
    <w:p>
      <w:pPr>
        <w:pStyle w:val="Heading4"/>
      </w:pPr>
      <w:r>
        <w:t xml:space="preserve">AMR detection</w:t>
      </w:r>
    </w:p>
    <w:p>
      <w:pPr>
        <w:pStyle w:val="FirstParagraph"/>
      </w:pPr>
      <w:r>
        <w:t xml:space="preserve">For AMRs detection (Figure Sup. 1) we use an</w:t>
      </w:r>
      <w:r>
        <w:t xml:space="preserve"> </w:t>
      </w:r>
      <w:r>
        <w:t xml:space="preserve">tsv version of the WHOs 2023 tuberculosis catalog that</w:t>
      </w:r>
      <w:r>
        <w:t xml:space="preserve"> </w:t>
      </w:r>
      <w:r>
        <w:t xml:space="preserve">has had all grade thee, four, and five AMRs removed.</w:t>
      </w:r>
      <w:r>
        <w:t xml:space="preserve"> </w:t>
      </w:r>
      <w:r>
        <w:t xml:space="preserve">We find potential AMR variants for each sequence with</w:t>
      </w:r>
      <w:r>
        <w:t xml:space="preserve"> </w:t>
      </w:r>
      <w:r>
        <w:t xml:space="preserve">the sequences reference (NC000962.3) mapping</w:t>
      </w:r>
      <w:r>
        <w:t xml:space="preserve"> </w:t>
      </w:r>
      <w:r>
        <w:t xml:space="preserve">coordinates.</w:t>
      </w:r>
      <w:r>
        <w:t xml:space="preserve"> </w:t>
      </w:r>
      <w:r>
        <w:t xml:space="preserve">For AMR variants with amino acid sequence, we convert the</w:t>
      </w:r>
      <w:r>
        <w:t xml:space="preserve"> </w:t>
      </w:r>
      <w:r>
        <w:t xml:space="preserve">sequences AMR region into amino acids.</w:t>
      </w:r>
      <w:r>
        <w:t xml:space="preserve"> </w:t>
      </w:r>
      <w:r>
        <w:t xml:space="preserve">We then check if the sequences nucleotide or amino acid</w:t>
      </w:r>
      <w:r>
        <w:t xml:space="preserve"> </w:t>
      </w:r>
      <w:r>
        <w:t xml:space="preserve">sequence matches the AMR variant.</w:t>
      </w:r>
      <w:r>
        <w:t xml:space="preserve"> </w:t>
      </w:r>
      <w:r>
        <w:t xml:space="preserve">Next, we detect and remove false positive AMRs by</w:t>
      </w:r>
      <w:r>
        <w:t xml:space="preserve"> </w:t>
      </w:r>
      <w:r>
        <w:t xml:space="preserve">discarding variants were the sequences AMR region length</w:t>
      </w:r>
      <w:r>
        <w:t xml:space="preserve"> </w:t>
      </w:r>
      <w:r>
        <w:t xml:space="preserve">differs from the AMR variants length.</w:t>
      </w:r>
    </w:p>
    <w:p>
      <w:pPr>
        <w:pStyle w:val="TextBody"/>
      </w:pPr>
      <w:r>
        <w:t xml:space="preserve">On default settings freezeTb does no additional checks</w:t>
      </w:r>
      <w:r>
        <w:t xml:space="preserve"> </w:t>
      </w:r>
      <w:r>
        <w:t xml:space="preserve">for frame shifts and loss of function AMRs.</w:t>
      </w:r>
      <w:r>
        <w:t xml:space="preserve"> </w:t>
      </w:r>
      <w:r>
        <w:t xml:space="preserve">However, though not recommended, freezeTB does include an</w:t>
      </w:r>
      <w:r>
        <w:t xml:space="preserve"> </w:t>
      </w:r>
      <w:r>
        <w:t xml:space="preserve">option to allow an simple check for frame shifts and</w:t>
      </w:r>
      <w:r>
        <w:t xml:space="preserve"> </w:t>
      </w:r>
      <w:r>
        <w:t xml:space="preserve">loss of function AMRs.</w:t>
      </w:r>
      <w:r>
        <w:t xml:space="preserve"> </w:t>
      </w:r>
      <w:r>
        <w:t xml:space="preserve">For loss of function AMRs, we translate the target gene</w:t>
      </w:r>
      <w:r>
        <w:t xml:space="preserve"> </w:t>
      </w:r>
      <w:r>
        <w:t xml:space="preserve">in the sequence.</w:t>
      </w:r>
      <w:r>
        <w:t xml:space="preserve"> </w:t>
      </w:r>
      <w:r>
        <w:t xml:space="preserve">We then look for early stop codons, lost stop codons</w:t>
      </w:r>
      <w:r>
        <w:t xml:space="preserve"> </w:t>
      </w:r>
      <w:r>
        <w:t xml:space="preserve">(when possible), and lost start codons (when possible).</w:t>
      </w:r>
      <w:r>
        <w:t xml:space="preserve"> </w:t>
      </w:r>
      <w:r>
        <w:t xml:space="preserve">Also, we count the number of indels and check if they</w:t>
      </w:r>
      <w:r>
        <w:t xml:space="preserve"> </w:t>
      </w:r>
      <w:r>
        <w:t xml:space="preserve">are divisible by three (not an LoF).</w:t>
      </w:r>
    </w:p>
    <w:p>
      <w:pPr>
        <w:pStyle w:val="TextBody"/>
      </w:pPr>
      <w:r>
        <w:t xml:space="preserve">For frame shifts we look to see if their are any indels in</w:t>
      </w:r>
      <w:r>
        <w:t xml:space="preserve"> </w:t>
      </w:r>
      <w:r>
        <w:t xml:space="preserve">the AMR region.</w:t>
      </w:r>
      <w:r>
        <w:t xml:space="preserve"> </w:t>
      </w:r>
      <w:r>
        <w:t xml:space="preserve">We also count the number of indels and check if they are</w:t>
      </w:r>
      <w:r>
        <w:t xml:space="preserve"> </w:t>
      </w:r>
      <w:r>
        <w:t xml:space="preserve">divisible by three.</w:t>
      </w:r>
    </w:p>
    <w:bookmarkEnd w:id="32"/>
    <w:bookmarkStart w:id="33" w:name="miru-vntr-lineages"/>
    <w:p>
      <w:pPr>
        <w:pStyle w:val="Heading4"/>
      </w:pPr>
      <w:r>
        <w:t xml:space="preserve">MIRU-VNTR lineages</w:t>
      </w:r>
    </w:p>
    <w:p>
      <w:pPr>
        <w:pStyle w:val="FirstParagraph"/>
      </w:pPr>
      <w:r>
        <w:t xml:space="preserve">To detect MIRU-VNTR lineages (Figure Sup. 1) we</w:t>
      </w:r>
      <w:r>
        <w:t xml:space="preserve"> </w:t>
      </w:r>
      <w:r>
        <w:t xml:space="preserve">identify primers sites on the reference (NC000962.3)</w:t>
      </w:r>
      <w:r>
        <w:t xml:space="preserve"> </w:t>
      </w:r>
      <w:r>
        <w:t xml:space="preserve">using the sequences mapping coordinates.</w:t>
      </w:r>
      <w:r>
        <w:t xml:space="preserve"> </w:t>
      </w:r>
      <w:r>
        <w:t xml:space="preserve">We find the lineage for the site by comparing the</w:t>
      </w:r>
      <w:r>
        <w:t xml:space="preserve"> </w:t>
      </w:r>
      <w:r>
        <w:t xml:space="preserve">sequences repeat region an modified MIRU-VNTR table</w:t>
      </w:r>
      <w:r>
        <w:t xml:space="preserve"> </w:t>
      </w:r>
      <w:r>
        <w:t xml:space="preserve">from MIRUReader</w:t>
      </w:r>
      <w:r>
        <w:t xml:space="preserve"> </w:t>
      </w:r>
      <w:r>
        <w:t xml:space="preserve">(</w:t>
      </w:r>
      <w:hyperlink w:anchor="ref-Tang-2020-pmid-31603462">
        <w:r>
          <w:rPr>
            <w:rStyle w:val="InternetLink"/>
          </w:rPr>
          <w:t xml:space="preserve">Tang and Ong 2020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To account for for indel errors we allow an 15 base pair</w:t>
      </w:r>
      <w:r>
        <w:t xml:space="preserve"> </w:t>
      </w:r>
      <w:r>
        <w:t xml:space="preserve">difference between the sequences length and the actual</w:t>
      </w:r>
      <w:r>
        <w:t xml:space="preserve"> </w:t>
      </w:r>
      <w:r>
        <w:t xml:space="preserve">lineages length.</w:t>
      </w:r>
    </w:p>
    <w:bookmarkEnd w:id="33"/>
    <w:bookmarkStart w:id="56" w:name="spoligotyping"/>
    <w:p>
      <w:pPr>
        <w:pStyle w:val="Heading4"/>
      </w:pPr>
      <w:r>
        <w:t xml:space="preserve">Spoligotyping</w:t>
      </w:r>
    </w:p>
    <w:p>
      <w:pPr>
        <w:pStyle w:val="FirstParagraph"/>
      </w:pPr>
      <w:r>
        <w:t xml:space="preserve">To detect spoligotypes we find the direct repeat region</w:t>
      </w:r>
      <w:r>
        <w:t xml:space="preserve"> </w:t>
      </w:r>
      <w:r>
        <w:t xml:space="preserve">(from NC000962.3) in the consensus using its mapping</w:t>
      </w:r>
      <w:r>
        <w:t xml:space="preserve"> </w:t>
      </w:r>
      <w:r>
        <w:t xml:space="preserve">coordinates.</w:t>
      </w:r>
      <w:r>
        <w:t xml:space="preserve"> </w:t>
      </w:r>
      <w:r>
        <w:t xml:space="preserve">We then build the barcode by mapping each internal spacer</w:t>
      </w:r>
      <w:r>
        <w:t xml:space="preserve"> </w:t>
      </w:r>
      <w:r>
        <w:t xml:space="preserve">sequence to the direct repeat region in the sequence</w:t>
      </w:r>
      <w:r>
        <w:t xml:space="preserve"> </w:t>
      </w:r>
      <w:r>
        <w:t xml:space="preserve">using and Waterman Smith alignment.</w:t>
      </w:r>
      <w:r>
        <w:t xml:space="preserve"> </w:t>
      </w:r>
      <w:r>
        <w:t xml:space="preserve">Next, we search the lineage database (csv) from TBProfiler</w:t>
      </w:r>
      <w:r>
        <w:t xml:space="preserve"> </w:t>
      </w:r>
      <w:r>
        <w:t xml:space="preserve">for matching lineages.</w:t>
      </w:r>
    </w:p>
    <w:bookmarkStart w:id="55" w:name="refs"/>
    <w:bookmarkStart w:id="35" w:name="ref-danecek-2021-pmid-33590861"/>
    <w:p>
      <w:pPr>
        <w:pStyle w:val="Bibliography"/>
      </w:pPr>
      <w:r>
        <w:t xml:space="preserve">Danecek, Petr, James K Bonfield, Jennifer Liddle, John Marshall, Valeriu Ohan, Martin O Pollard, Andrew Whitwham, et al. 2021.</w:t>
      </w:r>
      <w:r>
        <w:t xml:space="preserve"> </w:t>
      </w:r>
      <w:r>
        <w:t xml:space="preserve">“Twelve Years of SAMtools and BCFtools.”</w:t>
      </w:r>
      <w:r>
        <w:t xml:space="preserve"> </w:t>
      </w:r>
      <w:r>
        <w:rPr>
          <w:iCs/>
          <w:i/>
        </w:rPr>
        <w:t xml:space="preserve">GigaScience</w:t>
      </w:r>
      <w:r>
        <w:t xml:space="preserve"> </w:t>
      </w:r>
      <w:r>
        <w:t xml:space="preserve">10 (2): giab008.</w:t>
      </w:r>
      <w:r>
        <w:t xml:space="preserve"> </w:t>
      </w:r>
      <w:hyperlink r:id="rId34">
        <w:r>
          <w:rPr>
            <w:rStyle w:val="InternetLink"/>
          </w:rPr>
          <w:t xml:space="preserve">https://doi.org/10.1093/gigascience/giab008</w:t>
        </w:r>
      </w:hyperlink>
      <w:r>
        <w:t xml:space="preserve">.</w:t>
      </w:r>
    </w:p>
    <w:bookmarkEnd w:id="35"/>
    <w:bookmarkStart w:id="37" w:name="ref-dataTbl"/>
    <w:p>
      <w:pPr>
        <w:pStyle w:val="Bibliography"/>
      </w:pPr>
      <w:r>
        <w:t xml:space="preserve">Dowle, Matt, and Arun Srinivasan. 2019.</w:t>
      </w:r>
      <w:r>
        <w:t xml:space="preserve"> </w:t>
      </w:r>
      <w:r>
        <w:rPr>
          <w:iCs/>
          <w:i/>
        </w:rPr>
        <w:t xml:space="preserve">Data.table: Extension of ‘Data.frame‘</w:t>
      </w:r>
      <w:r>
        <w:t xml:space="preserve">.</w:t>
      </w:r>
      <w:r>
        <w:t xml:space="preserve"> </w:t>
      </w:r>
      <w:hyperlink r:id="rId36">
        <w:r>
          <w:rPr>
            <w:rStyle w:val="InternetLink"/>
          </w:rPr>
          <w:t xml:space="preserve">https://CRAN.R-project.org/package=data.table</w:t>
        </w:r>
      </w:hyperlink>
      <w:r>
        <w:t xml:space="preserve">.</w:t>
      </w:r>
    </w:p>
    <w:bookmarkEnd w:id="37"/>
    <w:bookmarkStart w:id="39" w:name="ref-viridisLite"/>
    <w:p>
      <w:pPr>
        <w:pStyle w:val="Bibliography"/>
      </w:pPr>
      <w:r>
        <w:t xml:space="preserve">Garnier, Simon. 2018.</w:t>
      </w:r>
      <w:r>
        <w:t xml:space="preserve"> </w:t>
      </w:r>
      <w:r>
        <w:rPr>
          <w:iCs/>
          <w:i/>
        </w:rPr>
        <w:t xml:space="preserve">viridisLite: Default Color Maps from ’Matplotlib’ (Lite Version)</w:t>
      </w:r>
      <w:r>
        <w:t xml:space="preserve">.</w:t>
      </w:r>
      <w:r>
        <w:t xml:space="preserve"> </w:t>
      </w:r>
      <w:hyperlink r:id="rId38">
        <w:r>
          <w:rPr>
            <w:rStyle w:val="InternetLink"/>
          </w:rPr>
          <w:t xml:space="preserve">https://CRAN.R-project.org/package=viridisLite</w:t>
        </w:r>
      </w:hyperlink>
      <w:r>
        <w:t xml:space="preserve">.</w:t>
      </w:r>
    </w:p>
    <w:bookmarkEnd w:id="39"/>
    <w:bookmarkStart w:id="41" w:name="ref-Grubaugh-2019-pmid-30621750"/>
    <w:p>
      <w:pPr>
        <w:pStyle w:val="Bibliography"/>
      </w:pPr>
      <w:r>
        <w:t xml:space="preserve">Grubaugh, Nathan D, Karthik Gangavarapu, Joshua Quick, Nathaniel L Matteson, Jaqueline Goes De Jesus, Bradley J Main, Amanda L Tan, et al. 2019.</w:t>
      </w:r>
      <w:r>
        <w:t xml:space="preserve"> </w:t>
      </w:r>
      <w:r>
        <w:t xml:space="preserve">“An Amplicon-Based Sequencing Framework for Accurately Measuring Intrahost Virus Diversity Using PrimalSeq and iVar.”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20 (1): 8.</w:t>
      </w:r>
      <w:r>
        <w:t xml:space="preserve"> </w:t>
      </w:r>
      <w:hyperlink r:id="rId40">
        <w:r>
          <w:rPr>
            <w:rStyle w:val="InternetLink"/>
          </w:rPr>
          <w:t xml:space="preserve">https://doi.org/10.1186/s13059-018-1618-7</w:t>
        </w:r>
      </w:hyperlink>
      <w:r>
        <w:t xml:space="preserve">.</w:t>
      </w:r>
    </w:p>
    <w:bookmarkEnd w:id="41"/>
    <w:bookmarkStart w:id="43" w:name="ref-li-2018-pmid-29750242"/>
    <w:p>
      <w:pPr>
        <w:pStyle w:val="Bibliography"/>
      </w:pPr>
      <w:r>
        <w:t xml:space="preserve">Li, Heng. 2018.</w:t>
      </w:r>
      <w:r>
        <w:t xml:space="preserve"> </w:t>
      </w:r>
      <w:r>
        <w:t xml:space="preserve">“Minimap2: Pairwise Alignment for Nucleotide Sequences.”</w:t>
      </w:r>
      <w:r>
        <w:t xml:space="preserve"> </w:t>
      </w:r>
      <w:r>
        <w:rPr>
          <w:iCs/>
          <w:i/>
        </w:rPr>
        <w:t xml:space="preserve">Bioinformatics (Oxford, England)</w:t>
      </w:r>
      <w:r>
        <w:t xml:space="preserve"> </w:t>
      </w:r>
      <w:r>
        <w:t xml:space="preserve">34 (18): 3094–3100.</w:t>
      </w:r>
      <w:r>
        <w:t xml:space="preserve"> </w:t>
      </w:r>
      <w:hyperlink r:id="rId42">
        <w:r>
          <w:rPr>
            <w:rStyle w:val="InternetLink"/>
          </w:rPr>
          <w:t xml:space="preserve">https://doi.org/10.1093/bioinformatics/bty191</w:t>
        </w:r>
      </w:hyperlink>
      <w:r>
        <w:t xml:space="preserve">.</w:t>
      </w:r>
    </w:p>
    <w:bookmarkEnd w:id="43"/>
    <w:bookmarkStart w:id="45" w:name="ref-li-2021-pmid-34623391"/>
    <w:p>
      <w:pPr>
        <w:pStyle w:val="Bibliography"/>
      </w:pPr>
      <w:r>
        <w:t xml:space="preserve">———. 2021.</w:t>
      </w:r>
      <w:r>
        <w:t xml:space="preserve"> </w:t>
      </w:r>
      <w:r>
        <w:t xml:space="preserve">“New Strategies to Improve Minimap2 Alignment Accuracy.”</w:t>
      </w:r>
      <w:r>
        <w:t xml:space="preserve"> </w:t>
      </w:r>
      <w:r>
        <w:rPr>
          <w:iCs/>
          <w:i/>
        </w:rPr>
        <w:t xml:space="preserve">Bioinformatics (Oxford, England)</w:t>
      </w:r>
      <w:r>
        <w:t xml:space="preserve"> </w:t>
      </w:r>
      <w:r>
        <w:t xml:space="preserve">37 (23): 4572–74.</w:t>
      </w:r>
      <w:r>
        <w:t xml:space="preserve"> </w:t>
      </w:r>
      <w:hyperlink r:id="rId44">
        <w:r>
          <w:rPr>
            <w:rStyle w:val="InternetLink"/>
          </w:rPr>
          <w:t xml:space="preserve">https://doi.org/10.1093/bioinformatics/btab705</w:t>
        </w:r>
      </w:hyperlink>
      <w:r>
        <w:t xml:space="preserve">.</w:t>
      </w:r>
    </w:p>
    <w:bookmarkEnd w:id="45"/>
    <w:bookmarkStart w:id="46" w:name="ref-WHO-TB-2023"/>
    <w:p>
      <w:pPr>
        <w:pStyle w:val="Bibliography"/>
      </w:pPr>
      <w:r>
        <w:t xml:space="preserve">Organization, Geneva: World Health. 2023.</w:t>
      </w:r>
      <w:r>
        <w:t xml:space="preserve"> </w:t>
      </w:r>
      <w:r>
        <w:t xml:space="preserve">“Catalogue of Mutations in Mycobacterium Tuberculosis Complex and Their Association with Drug Resistance.”</w:t>
      </w:r>
      <w:r>
        <w:t xml:space="preserve"> </w:t>
      </w:r>
      <w:r>
        <w:t xml:space="preserve">2.</w:t>
      </w:r>
    </w:p>
    <w:bookmarkEnd w:id="46"/>
    <w:bookmarkStart w:id="48" w:name="ref-phelan-2019-pmid-31234910"/>
    <w:p>
      <w:pPr>
        <w:pStyle w:val="Bibliography"/>
      </w:pPr>
      <w:r>
        <w:t xml:space="preserve">Phelan, Jody E, Denise M O’Sullivan, Diana Machado, Jorge Ramos, Yaa E A Oppong, Susana Campino, Justin O’Grady, et al. 2019.</w:t>
      </w:r>
      <w:r>
        <w:t xml:space="preserve"> </w:t>
      </w:r>
      <w:r>
        <w:t xml:space="preserve">“Integrating Informatics Tools and Portable Sequencing Technology for Rapid Detection of Resistance to Anti-Tuberculous Drugs.”</w:t>
      </w:r>
      <w:r>
        <w:t xml:space="preserve"> </w:t>
      </w:r>
      <w:r>
        <w:rPr>
          <w:iCs/>
          <w:i/>
        </w:rPr>
        <w:t xml:space="preserve">Genome Medicine</w:t>
      </w:r>
      <w:r>
        <w:t xml:space="preserve"> </w:t>
      </w:r>
      <w:r>
        <w:t xml:space="preserve">11 (1): 41.</w:t>
      </w:r>
      <w:r>
        <w:t xml:space="preserve"> </w:t>
      </w:r>
      <w:hyperlink r:id="rId47">
        <w:r>
          <w:rPr>
            <w:rStyle w:val="InternetLink"/>
          </w:rPr>
          <w:t xml:space="preserve">https://doi.org/10.1186/s13073-019-0650-x</w:t>
        </w:r>
      </w:hyperlink>
      <w:r>
        <w:t xml:space="preserve">.</w:t>
      </w:r>
    </w:p>
    <w:bookmarkEnd w:id="48"/>
    <w:bookmarkStart w:id="50" w:name="ref-R"/>
    <w:p>
      <w:pPr>
        <w:pStyle w:val="Bibliography"/>
      </w:pPr>
      <w:r>
        <w:t xml:space="preserve">R Core Team. 2020.</w:t>
      </w:r>
      <w:r>
        <w:t xml:space="preserve"> </w:t>
      </w:r>
      <w:r>
        <w:rPr>
          <w:iCs/>
          <w:i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9">
        <w:r>
          <w:rPr>
            <w:rStyle w:val="InternetLink"/>
          </w:rPr>
          <w:t xml:space="preserve">https://www.R-project.org/</w:t>
        </w:r>
      </w:hyperlink>
      <w:r>
        <w:t xml:space="preserve">.</w:t>
      </w:r>
    </w:p>
    <w:bookmarkEnd w:id="50"/>
    <w:bookmarkStart w:id="52" w:name="ref-Tang-2020-pmid-31603462"/>
    <w:p>
      <w:pPr>
        <w:pStyle w:val="Bibliography"/>
      </w:pPr>
      <w:r>
        <w:t xml:space="preserve">Tang, Cheng Yee, and Rick Twee-Hee Ong. 2020.</w:t>
      </w:r>
      <w:r>
        <w:t xml:space="preserve"> </w:t>
      </w:r>
      <w:r>
        <w:t xml:space="preserve">“MIRUReader: MIRU-VNTR Typing Directly from Long Sequencing Reads.”</w:t>
      </w:r>
      <w:r>
        <w:t xml:space="preserve"> </w:t>
      </w:r>
      <w:r>
        <w:rPr>
          <w:iCs/>
          <w:i/>
        </w:rPr>
        <w:t xml:space="preserve">Bioinformatics (Oxford, England)</w:t>
      </w:r>
      <w:r>
        <w:t xml:space="preserve"> </w:t>
      </w:r>
      <w:r>
        <w:t xml:space="preserve">36 (5): 1625–26.</w:t>
      </w:r>
      <w:r>
        <w:t xml:space="preserve"> </w:t>
      </w:r>
      <w:hyperlink r:id="rId51">
        <w:r>
          <w:rPr>
            <w:rStyle w:val="InternetLink"/>
          </w:rPr>
          <w:t xml:space="preserve">https://doi.org/10.1093/bioinformatics/btz771</w:t>
        </w:r>
      </w:hyperlink>
      <w:r>
        <w:t xml:space="preserve">.</w:t>
      </w:r>
    </w:p>
    <w:bookmarkEnd w:id="52"/>
    <w:bookmarkStart w:id="54" w:name="ref-ggplot2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Cs/>
          <w:i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53">
        <w:r>
          <w:rPr>
            <w:rStyle w:val="InternetLink"/>
          </w:rPr>
          <w:t xml:space="preserve">https://ggplot2.tidyverse.org</w:t>
        </w:r>
      </w:hyperlink>
      <w:r>
        <w:t xml:space="preserve">.</w:t>
      </w:r>
    </w:p>
    <w:bookmarkEnd w:id="54"/>
    <w:bookmarkEnd w:id="55"/>
    <w:bookmarkEnd w:id="56"/>
    <w:bookmarkEnd w:id="57"/>
    <w:bookmarkEnd w:id="58"/>
    <w:bookmarkEnd w:id="59"/>
    <w:sectPr>
      <w:footnotePr>
        <w:numFmt w:val="decimal"/>
      </w:footnote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bidi="" w:eastAsia="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 w:val="false"/>
      <w:bCs/>
      <w:i/>
      <w:color w:val="000000"/>
      <w:sz w:val="24"/>
      <w:szCs w:val="24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Anchor" w:type="character">
    <w:name w:val="Footnote Reference"/>
    <w:rPr>
      <w:vertAlign w:val="superscript"/>
    </w:rPr>
  </w:style>
  <w:style w:styleId="InternetLink" w:type="character">
    <w:name w:val="Hyperlink"/>
    <w:basedOn w:val="BodyTextChar"/>
    <w:rPr>
      <w:color w:themeColor="accent1" w:val="4F81BD"/>
    </w:rPr>
  </w:style>
  <w:style w:styleId="EndnoteAnchor" w:type="character">
    <w:name w:val="Endnote Reference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IBM Plex Sans Devanagari" w:eastAsia="DejaVu Sans" w:hAnsi="Liberation Sans"/>
      <w:sz w:val="28"/>
      <w:szCs w:val="28"/>
    </w:rPr>
  </w:style>
  <w:style w:styleId="TextBody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TextBody"/>
    <w:pPr/>
    <w:rPr>
      <w:rFonts w:cs="IBM Plex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IBM Plex Sans Devanagari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Shade="b5" w:val="000000"/>
      <w:sz w:val="28"/>
      <w:szCs w:val="36"/>
    </w:rPr>
  </w:style>
  <w:style w:styleId="Subtitle" w:type="paragraph">
    <w:name w:val="Subtitle"/>
    <w:basedOn w:val="Title"/>
    <w:next w:val="TextBody"/>
    <w:qFormat/>
    <w:pPr>
      <w:keepNext w:val="true"/>
      <w:keepLines/>
      <w:spacing w:after="240" w:before="240"/>
      <w:jc w:val="center"/>
    </w:pPr>
    <w:rPr>
      <w:sz w:val="24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100"/>
    </w:pPr>
    <w:rPr>
      <w:sz w:val="24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Contents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36" Target="https://CRAN.R-project.org/package=data.table" TargetMode="External" /><Relationship Type="http://schemas.openxmlformats.org/officeDocument/2006/relationships/hyperlink" Id="rId38" Target="https://CRAN.R-project.org/package=viridisLite" TargetMode="External" /><Relationship Type="http://schemas.openxmlformats.org/officeDocument/2006/relationships/hyperlink" Id="rId44" Target="https://doi.org/10.1093/bioinformatics/btab705" TargetMode="External" /><Relationship Type="http://schemas.openxmlformats.org/officeDocument/2006/relationships/hyperlink" Id="rId42" Target="https://doi.org/10.1093/bioinformatics/bty191" TargetMode="External" /><Relationship Type="http://schemas.openxmlformats.org/officeDocument/2006/relationships/hyperlink" Id="rId51" Target="https://doi.org/10.1093/bioinformatics/btz771" TargetMode="External" /><Relationship Type="http://schemas.openxmlformats.org/officeDocument/2006/relationships/hyperlink" Id="rId34" Target="https://doi.org/10.1093/gigascience/giab008" TargetMode="External" /><Relationship Type="http://schemas.openxmlformats.org/officeDocument/2006/relationships/hyperlink" Id="rId40" Target="https://doi.org/10.1186/s13059-018-1618-7" TargetMode="External" /><Relationship Type="http://schemas.openxmlformats.org/officeDocument/2006/relationships/hyperlink" Id="rId47" Target="https://doi.org/10.1186/s13073-019-0650-x" TargetMode="External" /><Relationship Type="http://schemas.openxmlformats.org/officeDocument/2006/relationships/hyperlink" Id="rId53" Target="https://ggplot2.tidyverse.org" TargetMode="External" /><Relationship Type="http://schemas.openxmlformats.org/officeDocument/2006/relationships/hyperlink" Id="rId22" Target="https://github.com/jeremybutter/freezeTB/benchmark/TBOneBench.sh" TargetMode="External" /><Relationship Type="http://schemas.openxmlformats.org/officeDocument/2006/relationships/hyperlink" Id="rId21" Target="https://github.com/jeremybutter/freezeTB/benchmark/TBProfiler-process.awk" TargetMode="External" /><Relationship Type="http://schemas.openxmlformats.org/officeDocument/2006/relationships/hyperlink" Id="rId20" Target="https://github.com/jeremybuttler/freezeTB" TargetMode="External" /><Relationship Type="http://schemas.openxmlformats.org/officeDocument/2006/relationships/hyperlink" Id="rId49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CRAN.R-project.org/package=data.table" TargetMode="External" /><Relationship Type="http://schemas.openxmlformats.org/officeDocument/2006/relationships/hyperlink" Id="rId38" Target="https://CRAN.R-project.org/package=viridisLite" TargetMode="External" /><Relationship Type="http://schemas.openxmlformats.org/officeDocument/2006/relationships/hyperlink" Id="rId44" Target="https://doi.org/10.1093/bioinformatics/btab705" TargetMode="External" /><Relationship Type="http://schemas.openxmlformats.org/officeDocument/2006/relationships/hyperlink" Id="rId42" Target="https://doi.org/10.1093/bioinformatics/bty191" TargetMode="External" /><Relationship Type="http://schemas.openxmlformats.org/officeDocument/2006/relationships/hyperlink" Id="rId51" Target="https://doi.org/10.1093/bioinformatics/btz771" TargetMode="External" /><Relationship Type="http://schemas.openxmlformats.org/officeDocument/2006/relationships/hyperlink" Id="rId34" Target="https://doi.org/10.1093/gigascience/giab008" TargetMode="External" /><Relationship Type="http://schemas.openxmlformats.org/officeDocument/2006/relationships/hyperlink" Id="rId40" Target="https://doi.org/10.1186/s13059-018-1618-7" TargetMode="External" /><Relationship Type="http://schemas.openxmlformats.org/officeDocument/2006/relationships/hyperlink" Id="rId47" Target="https://doi.org/10.1186/s13073-019-0650-x" TargetMode="External" /><Relationship Type="http://schemas.openxmlformats.org/officeDocument/2006/relationships/hyperlink" Id="rId53" Target="https://ggplot2.tidyverse.org" TargetMode="External" /><Relationship Type="http://schemas.openxmlformats.org/officeDocument/2006/relationships/hyperlink" Id="rId22" Target="https://github.com/jeremybutter/freezeTB/benchmark/TBOneBench.sh" TargetMode="External" /><Relationship Type="http://schemas.openxmlformats.org/officeDocument/2006/relationships/hyperlink" Id="rId21" Target="https://github.com/jeremybutter/freezeTB/benchmark/TBProfiler-process.awk" TargetMode="External" /><Relationship Type="http://schemas.openxmlformats.org/officeDocument/2006/relationships/hyperlink" Id="rId20" Target="https://github.com/jeremybuttler/freezeTB" TargetMode="External" /><Relationship Type="http://schemas.openxmlformats.org/officeDocument/2006/relationships/hyperlink" Id="rId49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LibreOffice/7.5.1.2$OpenBSD_X86_64 LibreOffice_project/50$Build-2</Application>
  <AppVersion>15.0000</AppVersion>
  <Pages>1</Pages>
  <Words>53</Words>
  <Characters>281</Characters>
  <CharactersWithSpaces>374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2024-06-05T15:04:45Z</dcterms:created>
  <dcterms:modified xsi:type="dcterms:W3CDTF">2024-06-05T15:04:45Z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refs.bib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/>
  </property>
  <property fmtid="{D5CDD505-2E9C-101B-9397-08002B2CF9AE}" pid="9" name="chapters">
    <vt:lpwstr>True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equationNumberTeX">
    <vt:lpwstr>qquad</vt:lpwstr>
  </property>
  <property fmtid="{D5CDD505-2E9C-101B-9397-08002B2CF9AE}" pid="18" name="figLabels">
    <vt:lpwstr>arabic</vt:lpwstr>
  </property>
  <property fmtid="{D5CDD505-2E9C-101B-9397-08002B2CF9AE}" pid="19" name="figPrefix">
    <vt:lpwstr>Figure</vt:lpwstr>
  </property>
  <property fmtid="{D5CDD505-2E9C-101B-9397-08002B2CF9AE}" pid="20" name="figPrefixTemplate">
    <vt:lpwstr>p i</vt:lpwstr>
  </property>
  <property fmtid="{D5CDD505-2E9C-101B-9397-08002B2CF9AE}" pid="21" name="figureTemplate">
    <vt:lpwstr>figureTitle ititleDelim t</vt:lpwstr>
  </property>
  <property fmtid="{D5CDD505-2E9C-101B-9397-08002B2CF9AE}" pid="22" name="figureTitle">
    <vt:lpwstr>Figure</vt:lpwstr>
  </property>
  <property fmtid="{D5CDD505-2E9C-101B-9397-08002B2CF9AE}" pid="23" name="geometry">
    <vt:lpwstr>margin=25mm</vt:lpwstr>
  </property>
  <property fmtid="{D5CDD505-2E9C-101B-9397-08002B2CF9AE}" pid="24" name="lastDelim">
    <vt:lpwstr>, </vt:lpwstr>
  </property>
  <property fmtid="{D5CDD505-2E9C-101B-9397-08002B2CF9AE}" pid="25" name="link-bibliograpy">
    <vt:lpwstr>True</vt:lpwstr>
  </property>
  <property fmtid="{D5CDD505-2E9C-101B-9397-08002B2CF9AE}" pid="26" name="link-citations">
    <vt:lpwstr>True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Title">
    <vt:lpwstr>List of Figures</vt:lpwstr>
  </property>
  <property fmtid="{D5CDD505-2E9C-101B-9397-08002B2CF9AE}" pid="32" name="lolTitle">
    <vt:lpwstr>List of Listings</vt:lpwstr>
  </property>
  <property fmtid="{D5CDD505-2E9C-101B-9397-08002B2CF9AE}" pid="33" name="lotTitle">
    <vt:lpwstr>List of Tables</vt:lpwstr>
  </property>
  <property fmtid="{D5CDD505-2E9C-101B-9397-08002B2CF9AE}" pid="34" name="lstLabels">
    <vt:lpwstr>arabic</vt:lpwstr>
  </property>
  <property fmtid="{D5CDD505-2E9C-101B-9397-08002B2CF9AE}" pid="35" name="lstPrefix">
    <vt:lpwstr/>
  </property>
  <property fmtid="{D5CDD505-2E9C-101B-9397-08002B2CF9AE}" pid="36" name="lstPrefixTemplate">
    <vt:lpwstr>p i</vt:lpwstr>
  </property>
  <property fmtid="{D5CDD505-2E9C-101B-9397-08002B2CF9AE}" pid="37" name="nameInLink">
    <vt:lpwstr>False</vt:lpwstr>
  </property>
  <property fmtid="{D5CDD505-2E9C-101B-9397-08002B2CF9AE}" pid="38" name="numberSections">
    <vt:lpwstr>False</vt:lpwstr>
  </property>
  <property fmtid="{D5CDD505-2E9C-101B-9397-08002B2CF9AE}" pid="39" name="pairDelim">
    <vt:lpwstr>, </vt:lpwstr>
  </property>
  <property fmtid="{D5CDD505-2E9C-101B-9397-08002B2CF9AE}" pid="40" name="rangeDelim">
    <vt:lpwstr>-</vt:lpwstr>
  </property>
  <property fmtid="{D5CDD505-2E9C-101B-9397-08002B2CF9AE}" pid="41" name="refDelim">
    <vt:lpwstr>, </vt:lpwstr>
  </property>
  <property fmtid="{D5CDD505-2E9C-101B-9397-08002B2CF9AE}" pid="42" name="refIndexTemplate">
    <vt:lpwstr>isuf</vt:lpwstr>
  </property>
  <property fmtid="{D5CDD505-2E9C-101B-9397-08002B2CF9AE}" pid="43" name="secHeaderDelim">
    <vt:lpwstr> </vt:lpwstr>
  </property>
  <property fmtid="{D5CDD505-2E9C-101B-9397-08002B2CF9AE}" pid="44" name="secHeaderTemplate">
    <vt:lpwstr>isecHeaderDelim[n]t</vt:lpwstr>
  </property>
  <property fmtid="{D5CDD505-2E9C-101B-9397-08002B2CF9AE}" pid="45" name="secLabels">
    <vt:lpwstr>arabic</vt:lpwstr>
  </property>
  <property fmtid="{D5CDD505-2E9C-101B-9397-08002B2CF9AE}" pid="46" name="secPrefix">
    <vt:lpwstr/>
  </property>
  <property fmtid="{D5CDD505-2E9C-101B-9397-08002B2CF9AE}" pid="47" name="secPrefixTemplate">
    <vt:lpwstr>p i</vt:lpwstr>
  </property>
  <property fmtid="{D5CDD505-2E9C-101B-9397-08002B2CF9AE}" pid="48" name="sectionsDepth">
    <vt:lpwstr>0</vt:lpwstr>
  </property>
  <property fmtid="{D5CDD505-2E9C-101B-9397-08002B2CF9AE}" pid="49" name="subfigGrid">
    <vt:lpwstr>False</vt:lpwstr>
  </property>
  <property fmtid="{D5CDD505-2E9C-101B-9397-08002B2CF9AE}" pid="50" name="subfigLabels">
    <vt:lpwstr>alpha a</vt:lpwstr>
  </property>
  <property fmtid="{D5CDD505-2E9C-101B-9397-08002B2CF9AE}" pid="51" name="subfigureChildTemplate">
    <vt:lpwstr>i</vt:lpwstr>
  </property>
  <property fmtid="{D5CDD505-2E9C-101B-9397-08002B2CF9AE}" pid="52" name="subfigureRefIndexTemplate">
    <vt:lpwstr>isuf (s)</vt:lpwstr>
  </property>
  <property fmtid="{D5CDD505-2E9C-101B-9397-08002B2CF9AE}" pid="53" name="subfigureTemplate">
    <vt:lpwstr>figureTitle ititleDelim t. ccs</vt:lpwstr>
  </property>
  <property fmtid="{D5CDD505-2E9C-101B-9397-08002B2CF9AE}" pid="54" name="tableEqns">
    <vt:lpwstr>False</vt:lpwstr>
  </property>
  <property fmtid="{D5CDD505-2E9C-101B-9397-08002B2CF9AE}" pid="55" name="tableTemplate">
    <vt:lpwstr>tableTitle ititleDelim t</vt:lpwstr>
  </property>
  <property fmtid="{D5CDD505-2E9C-101B-9397-08002B2CF9AE}" pid="56" name="tableTitle">
    <vt:lpwstr>Table</vt:lpwstr>
  </property>
  <property fmtid="{D5CDD505-2E9C-101B-9397-08002B2CF9AE}" pid="57" name="tblLabels">
    <vt:lpwstr>arabic</vt:lpwstr>
  </property>
  <property fmtid="{D5CDD505-2E9C-101B-9397-08002B2CF9AE}" pid="58" name="tblPrefix">
    <vt:lpwstr>Table</vt:lpwstr>
  </property>
  <property fmtid="{D5CDD505-2E9C-101B-9397-08002B2CF9AE}" pid="59" name="tblPrefixTemplate">
    <vt:lpwstr>p i</vt:lpwstr>
  </property>
  <property fmtid="{D5CDD505-2E9C-101B-9397-08002B2CF9AE}" pid="60" name="titleDelim">
    <vt:lpwstr>:</vt:lpwstr>
  </property>
</Properties>
</file>