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BCF5" w14:textId="4BAB4F4B" w:rsidR="00DF1FE9" w:rsidRDefault="003A4144">
      <w:r w:rsidRPr="003A4144">
        <w:t>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</w:t>
      </w:r>
    </w:p>
    <w:p w14:paraId="1DE7DEE5" w14:textId="77777777" w:rsidR="00776F02" w:rsidRDefault="00776F02"/>
    <w:p w14:paraId="5DF82AF1" w14:textId="77777777" w:rsidR="00776F02" w:rsidRPr="00776F02" w:rsidRDefault="00776F02" w:rsidP="00776F02">
      <w:proofErr w:type="gramStart"/>
      <w:r w:rsidRPr="00776F02">
        <w:t xml:space="preserve">  </w:t>
      </w:r>
      <w:r w:rsidRPr="00776F02">
        <w:rPr>
          <w:b/>
          <w:bCs/>
        </w:rPr>
        <w:t>Agent</w:t>
      </w:r>
      <w:proofErr w:type="gramEnd"/>
      <w:r w:rsidRPr="00776F02">
        <w:rPr>
          <w:b/>
          <w:bCs/>
        </w:rPr>
        <w:t xml:space="preserve"> 1: The Auditor (The one you just built):</w:t>
      </w:r>
      <w:r w:rsidRPr="00776F02">
        <w:t xml:space="preserve"> Its job is to look at risks, query the database, find control gaps, and create basic controls to patch those gaps.</w:t>
      </w:r>
    </w:p>
    <w:p w14:paraId="14943712" w14:textId="77777777" w:rsidR="00776F02" w:rsidRPr="00776F02" w:rsidRDefault="00776F02" w:rsidP="00776F02">
      <w:proofErr w:type="gramStart"/>
      <w:r w:rsidRPr="00776F02">
        <w:t xml:space="preserve">  </w:t>
      </w:r>
      <w:r w:rsidRPr="00776F02">
        <w:rPr>
          <w:b/>
          <w:bCs/>
        </w:rPr>
        <w:t>Agent</w:t>
      </w:r>
      <w:proofErr w:type="gramEnd"/>
      <w:r w:rsidRPr="00776F02">
        <w:rPr>
          <w:b/>
          <w:bCs/>
        </w:rPr>
        <w:t xml:space="preserve"> 2: The Policy Writer (Next up):</w:t>
      </w:r>
      <w:r w:rsidRPr="00776F02">
        <w:t xml:space="preserve"> Once the auditor creates a control, this agent autonomously reads the control and writes a detailed corporate compliance policy document for it.</w:t>
      </w:r>
    </w:p>
    <w:p w14:paraId="15116703" w14:textId="77777777" w:rsidR="00776F02" w:rsidRPr="00776F02" w:rsidRDefault="00776F02" w:rsidP="00776F02">
      <w:proofErr w:type="gramStart"/>
      <w:r w:rsidRPr="00776F02">
        <w:t xml:space="preserve">  </w:t>
      </w:r>
      <w:r w:rsidRPr="00776F02">
        <w:rPr>
          <w:b/>
          <w:bCs/>
        </w:rPr>
        <w:t>Agent</w:t>
      </w:r>
      <w:proofErr w:type="gramEnd"/>
      <w:r w:rsidRPr="00776F02">
        <w:rPr>
          <w:b/>
          <w:bCs/>
        </w:rPr>
        <w:t xml:space="preserve"> 3: The GRC Director (The Coordinator):</w:t>
      </w:r>
      <w:r w:rsidRPr="00776F02">
        <w:t xml:space="preserve"> This agent acts as the manager. You give it a high-level goal, and it orchestrates the Auditor and the Policy Writer, passing tasks between them until the entire firm is compliant.</w:t>
      </w:r>
    </w:p>
    <w:p w14:paraId="45300C7A" w14:textId="77777777" w:rsidR="00776F02" w:rsidRDefault="00776F02"/>
    <w:sectPr w:rsidR="007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144"/>
    <w:rsid w:val="00036680"/>
    <w:rsid w:val="003A4144"/>
    <w:rsid w:val="004D2241"/>
    <w:rsid w:val="00776F02"/>
    <w:rsid w:val="007E2A61"/>
    <w:rsid w:val="00DF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3B02"/>
  <w15:chartTrackingRefBased/>
  <w15:docId w15:val="{354CE94E-91E9-4DBF-A564-088889EB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Bigler</dc:creator>
  <cp:keywords/>
  <dc:description/>
  <cp:lastModifiedBy>Jeremy Bigler</cp:lastModifiedBy>
  <cp:revision>2</cp:revision>
  <dcterms:created xsi:type="dcterms:W3CDTF">2026-07-03T16:42:00Z</dcterms:created>
  <dcterms:modified xsi:type="dcterms:W3CDTF">2026-07-04T03:58:00Z</dcterms:modified>
</cp:coreProperties>
</file>