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7AAD" w14:textId="50662534" w:rsidR="00F81134" w:rsidRPr="00FF7E71" w:rsidRDefault="00F81134" w:rsidP="00FF7E71">
      <w:pPr>
        <w:spacing w:after="0" w:line="312" w:lineRule="auto"/>
        <w:jc w:val="both"/>
        <w:rPr>
          <w:rFonts w:ascii="Times New Roman" w:hAnsi="Times New Roman" w:cs="Times New Roman"/>
          <w:b/>
          <w:bCs/>
          <w:sz w:val="20"/>
          <w:szCs w:val="20"/>
        </w:rPr>
      </w:pPr>
      <w:r w:rsidRPr="00FF7E71">
        <w:rPr>
          <w:rFonts w:ascii="Times New Roman" w:hAnsi="Times New Roman" w:cs="Times New Roman"/>
          <w:b/>
          <w:bCs/>
          <w:sz w:val="20"/>
          <w:szCs w:val="20"/>
        </w:rPr>
        <w:t>RESEARCH PROPOSAL FOR MASTER THESIS</w:t>
      </w:r>
    </w:p>
    <w:p w14:paraId="79AE1DF8" w14:textId="53D52ED2" w:rsidR="00F81134" w:rsidRPr="00FF7E71" w:rsidRDefault="00F81134"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CHIA, Jeremy Jerome</w:t>
      </w:r>
    </w:p>
    <w:p w14:paraId="538B930B" w14:textId="63B31241" w:rsidR="00F81134" w:rsidRPr="00FF7E71" w:rsidRDefault="00F81134"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M.Sc. Big Data and Business Analytics</w:t>
      </w:r>
      <w:r w:rsidR="004C4DDD" w:rsidRPr="00FF7E71">
        <w:rPr>
          <w:rFonts w:ascii="Times New Roman" w:hAnsi="Times New Roman" w:cs="Times New Roman"/>
          <w:sz w:val="20"/>
          <w:szCs w:val="20"/>
        </w:rPr>
        <w:t xml:space="preserve"> (</w:t>
      </w:r>
      <w:r w:rsidRPr="00FF7E71">
        <w:rPr>
          <w:rFonts w:ascii="Times New Roman" w:hAnsi="Times New Roman" w:cs="Times New Roman"/>
          <w:sz w:val="20"/>
          <w:szCs w:val="20"/>
        </w:rPr>
        <w:t>2022 Promotion</w:t>
      </w:r>
      <w:r w:rsidR="004C4DDD" w:rsidRPr="00FF7E71">
        <w:rPr>
          <w:rFonts w:ascii="Times New Roman" w:hAnsi="Times New Roman" w:cs="Times New Roman"/>
          <w:sz w:val="20"/>
          <w:szCs w:val="20"/>
        </w:rPr>
        <w:t>)</w:t>
      </w:r>
    </w:p>
    <w:p w14:paraId="4016EBC0" w14:textId="4A5EFC6A" w:rsidR="00F81134" w:rsidRPr="00FF7E71" w:rsidRDefault="00F81134" w:rsidP="00FF7E71">
      <w:pPr>
        <w:pBdr>
          <w:bottom w:val="single" w:sz="4" w:space="1" w:color="auto"/>
        </w:pBdr>
        <w:spacing w:after="0" w:line="312" w:lineRule="auto"/>
        <w:jc w:val="both"/>
        <w:rPr>
          <w:rFonts w:ascii="Times New Roman" w:hAnsi="Times New Roman" w:cs="Times New Roman"/>
          <w:sz w:val="20"/>
          <w:szCs w:val="20"/>
        </w:rPr>
      </w:pPr>
    </w:p>
    <w:p w14:paraId="54A4A64D" w14:textId="77777777" w:rsidR="00F81134" w:rsidRPr="00FF7E71" w:rsidRDefault="00F81134" w:rsidP="00FF7E71">
      <w:pPr>
        <w:spacing w:after="0" w:line="312" w:lineRule="auto"/>
        <w:jc w:val="both"/>
        <w:rPr>
          <w:rFonts w:ascii="Times New Roman" w:hAnsi="Times New Roman" w:cs="Times New Roman"/>
          <w:b/>
          <w:bCs/>
          <w:sz w:val="20"/>
          <w:szCs w:val="20"/>
        </w:rPr>
      </w:pPr>
    </w:p>
    <w:p w14:paraId="32EE7DA9" w14:textId="58B5E1CF" w:rsidR="00A84012" w:rsidRPr="00FF7E71" w:rsidRDefault="00DE1B62" w:rsidP="00FF7E71">
      <w:pPr>
        <w:spacing w:after="0" w:line="312" w:lineRule="auto"/>
        <w:jc w:val="both"/>
        <w:rPr>
          <w:rFonts w:ascii="Times New Roman" w:hAnsi="Times New Roman" w:cs="Times New Roman"/>
          <w:b/>
          <w:bCs/>
          <w:sz w:val="20"/>
          <w:szCs w:val="20"/>
        </w:rPr>
      </w:pPr>
      <w:r w:rsidRPr="00FF7E71">
        <w:rPr>
          <w:rFonts w:ascii="Times New Roman" w:hAnsi="Times New Roman" w:cs="Times New Roman"/>
          <w:b/>
          <w:bCs/>
          <w:sz w:val="20"/>
          <w:szCs w:val="20"/>
        </w:rPr>
        <w:t>Proposed Topic:</w:t>
      </w:r>
    </w:p>
    <w:p w14:paraId="4FBBBEA6" w14:textId="6C79BC39" w:rsidR="00DE1B62" w:rsidRPr="00FF7E71" w:rsidRDefault="00DE1B62"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 xml:space="preserve">A </w:t>
      </w:r>
      <w:r w:rsidR="00F81134" w:rsidRPr="00FF7E71">
        <w:rPr>
          <w:rFonts w:ascii="Times New Roman" w:hAnsi="Times New Roman" w:cs="Times New Roman"/>
          <w:sz w:val="20"/>
          <w:szCs w:val="20"/>
        </w:rPr>
        <w:t xml:space="preserve">Natural Language Processing </w:t>
      </w:r>
      <w:r w:rsidR="002A4CD3" w:rsidRPr="00FF7E71">
        <w:rPr>
          <w:rFonts w:ascii="Times New Roman" w:hAnsi="Times New Roman" w:cs="Times New Roman"/>
          <w:sz w:val="20"/>
          <w:szCs w:val="20"/>
        </w:rPr>
        <w:t xml:space="preserve">(Topical and Sentiment) </w:t>
      </w:r>
      <w:r w:rsidRPr="00FF7E71">
        <w:rPr>
          <w:rFonts w:ascii="Times New Roman" w:hAnsi="Times New Roman" w:cs="Times New Roman"/>
          <w:sz w:val="20"/>
          <w:szCs w:val="20"/>
        </w:rPr>
        <w:t>Analysis of Sustainability Report</w:t>
      </w:r>
      <w:r w:rsidR="00C40F4B" w:rsidRPr="00FF7E71">
        <w:rPr>
          <w:rFonts w:ascii="Times New Roman" w:hAnsi="Times New Roman" w:cs="Times New Roman"/>
          <w:sz w:val="20"/>
          <w:szCs w:val="20"/>
        </w:rPr>
        <w:t>s and its Relationship with Corporate Financial Performance:</w:t>
      </w:r>
      <w:r w:rsidR="00F81134" w:rsidRPr="00FF7E71">
        <w:rPr>
          <w:rFonts w:ascii="Times New Roman" w:hAnsi="Times New Roman" w:cs="Times New Roman"/>
          <w:sz w:val="20"/>
          <w:szCs w:val="20"/>
        </w:rPr>
        <w:t xml:space="preserve"> Empirical Evidence from Singapore’s Listed Companies</w:t>
      </w:r>
    </w:p>
    <w:p w14:paraId="613E2CBE" w14:textId="77777777" w:rsidR="003666C3" w:rsidRPr="00FF7E71" w:rsidRDefault="003666C3" w:rsidP="00FF7E71">
      <w:pPr>
        <w:pBdr>
          <w:bottom w:val="single" w:sz="4" w:space="1" w:color="auto"/>
        </w:pBdr>
        <w:spacing w:after="0" w:line="312" w:lineRule="auto"/>
        <w:jc w:val="both"/>
        <w:rPr>
          <w:rFonts w:ascii="Times New Roman" w:hAnsi="Times New Roman" w:cs="Times New Roman"/>
          <w:sz w:val="20"/>
          <w:szCs w:val="20"/>
        </w:rPr>
      </w:pPr>
    </w:p>
    <w:p w14:paraId="775508BC" w14:textId="77777777" w:rsidR="003666C3" w:rsidRPr="00FF7E71" w:rsidRDefault="003666C3" w:rsidP="00FF7E71">
      <w:pPr>
        <w:spacing w:after="0" w:line="312" w:lineRule="auto"/>
        <w:jc w:val="both"/>
        <w:rPr>
          <w:rFonts w:ascii="Times New Roman" w:hAnsi="Times New Roman" w:cs="Times New Roman"/>
          <w:sz w:val="20"/>
          <w:szCs w:val="20"/>
        </w:rPr>
      </w:pPr>
    </w:p>
    <w:p w14:paraId="75629A9A" w14:textId="77777777" w:rsidR="001937A6" w:rsidRPr="001937A6" w:rsidRDefault="001937A6" w:rsidP="00FF7E71">
      <w:pPr>
        <w:spacing w:after="0" w:line="312" w:lineRule="auto"/>
        <w:jc w:val="both"/>
        <w:rPr>
          <w:rFonts w:ascii="Times New Roman" w:hAnsi="Times New Roman" w:cs="Times New Roman"/>
          <w:sz w:val="20"/>
          <w:szCs w:val="20"/>
        </w:rPr>
      </w:pPr>
      <w:r w:rsidRPr="001937A6">
        <w:rPr>
          <w:rFonts w:ascii="Times New Roman" w:hAnsi="Times New Roman" w:cs="Times New Roman"/>
          <w:b/>
          <w:bCs/>
          <w:sz w:val="20"/>
          <w:szCs w:val="20"/>
        </w:rPr>
        <w:t>Introduction</w:t>
      </w:r>
    </w:p>
    <w:p w14:paraId="62D2058C" w14:textId="77777777" w:rsidR="001937A6" w:rsidRPr="001937A6" w:rsidRDefault="001937A6" w:rsidP="00FF7E71">
      <w:pPr>
        <w:spacing w:after="0" w:line="312" w:lineRule="auto"/>
        <w:jc w:val="both"/>
        <w:rPr>
          <w:rFonts w:ascii="Times New Roman" w:hAnsi="Times New Roman" w:cs="Times New Roman"/>
          <w:sz w:val="20"/>
          <w:szCs w:val="20"/>
        </w:rPr>
      </w:pPr>
    </w:p>
    <w:p w14:paraId="03DB6E3B" w14:textId="61AC8D93"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Non-financial information is increasingly important to stakeholders in assessing a company’s performance. This morphs the classical view that the shareholders exclusively seek to maximise returns. For example, the </w:t>
      </w:r>
      <w:r w:rsidRPr="00FF7E71">
        <w:rPr>
          <w:rFonts w:ascii="Times New Roman" w:hAnsi="Times New Roman" w:cs="Times New Roman"/>
          <w:i/>
          <w:iCs/>
          <w:sz w:val="20"/>
          <w:szCs w:val="20"/>
        </w:rPr>
        <w:t>triple-bottom-line </w:t>
      </w:r>
      <w:r w:rsidRPr="00FF7E71">
        <w:rPr>
          <w:rFonts w:ascii="Times New Roman" w:hAnsi="Times New Roman" w:cs="Times New Roman"/>
          <w:sz w:val="20"/>
          <w:szCs w:val="20"/>
        </w:rPr>
        <w:t>– proposed in </w:t>
      </w:r>
      <w:r w:rsidRPr="00FF7E71">
        <w:rPr>
          <w:rFonts w:ascii="Times New Roman" w:hAnsi="Times New Roman" w:cs="Times New Roman"/>
          <w:i/>
          <w:iCs/>
          <w:sz w:val="20"/>
          <w:szCs w:val="20"/>
        </w:rPr>
        <w:t>Elkington (1999)</w:t>
      </w:r>
      <w:r w:rsidRPr="00FF7E71">
        <w:rPr>
          <w:rFonts w:ascii="Times New Roman" w:hAnsi="Times New Roman" w:cs="Times New Roman"/>
          <w:sz w:val="20"/>
          <w:szCs w:val="20"/>
        </w:rPr>
        <w:t> proposed that companies were to focus on people and the planet and profits. </w:t>
      </w:r>
      <w:r w:rsidRPr="00FF7E71">
        <w:rPr>
          <w:rFonts w:ascii="Times New Roman" w:hAnsi="Times New Roman" w:cs="Times New Roman"/>
          <w:i/>
          <w:iCs/>
          <w:sz w:val="20"/>
          <w:szCs w:val="20"/>
        </w:rPr>
        <w:t>Tsang (1998)</w:t>
      </w:r>
      <w:r w:rsidRPr="00FF7E71">
        <w:rPr>
          <w:rFonts w:ascii="Times New Roman" w:hAnsi="Times New Roman" w:cs="Times New Roman"/>
          <w:sz w:val="20"/>
          <w:szCs w:val="20"/>
        </w:rPr>
        <w:t xml:space="preserve"> observed that several listed companies in Singapore’s banking, food and beverages, and hotel industries were making voluntary disclosures on their social corporate responsibility efforts. Such disclosures were often a section in the annual report. These are centred on human resources and community involvement efforts, at 5.3% of all sentences in the annual report. However, environment-related disclosures were scarce – they made up only 0.24% of total sentences. These results were representative of the broader social focus in Singapore in the 1990s on fostering social cohesion. Since that initial study, other similar studies have revealed statistically significant positive relationships between </w:t>
      </w:r>
      <w:r w:rsidR="00676B2C">
        <w:rPr>
          <w:rFonts w:ascii="Times New Roman" w:hAnsi="Times New Roman" w:cs="Times New Roman"/>
          <w:sz w:val="20"/>
          <w:szCs w:val="20"/>
        </w:rPr>
        <w:t>C</w:t>
      </w:r>
      <w:r w:rsidRPr="00FF7E71">
        <w:rPr>
          <w:rFonts w:ascii="Times New Roman" w:hAnsi="Times New Roman" w:cs="Times New Roman"/>
          <w:sz w:val="20"/>
          <w:szCs w:val="20"/>
        </w:rPr>
        <w:t xml:space="preserve">orporate </w:t>
      </w:r>
      <w:r w:rsidR="00676B2C">
        <w:rPr>
          <w:rFonts w:ascii="Times New Roman" w:hAnsi="Times New Roman" w:cs="Times New Roman"/>
          <w:sz w:val="20"/>
          <w:szCs w:val="20"/>
        </w:rPr>
        <w:t>S</w:t>
      </w:r>
      <w:r w:rsidRPr="00FF7E71">
        <w:rPr>
          <w:rFonts w:ascii="Times New Roman" w:hAnsi="Times New Roman" w:cs="Times New Roman"/>
          <w:sz w:val="20"/>
          <w:szCs w:val="20"/>
        </w:rPr>
        <w:t xml:space="preserve">ocial </w:t>
      </w:r>
      <w:r w:rsidR="00676B2C">
        <w:rPr>
          <w:rFonts w:ascii="Times New Roman" w:hAnsi="Times New Roman" w:cs="Times New Roman"/>
          <w:sz w:val="20"/>
          <w:szCs w:val="20"/>
        </w:rPr>
        <w:t>R</w:t>
      </w:r>
      <w:r w:rsidRPr="00FF7E71">
        <w:rPr>
          <w:rFonts w:ascii="Times New Roman" w:hAnsi="Times New Roman" w:cs="Times New Roman"/>
          <w:sz w:val="20"/>
          <w:szCs w:val="20"/>
        </w:rPr>
        <w:t>esponsibility (CSR) disclosures and financial performance </w:t>
      </w:r>
      <w:r w:rsidRPr="00FF7E71">
        <w:rPr>
          <w:rFonts w:ascii="Times New Roman" w:hAnsi="Times New Roman" w:cs="Times New Roman"/>
          <w:i/>
          <w:iCs/>
          <w:sz w:val="20"/>
          <w:szCs w:val="20"/>
        </w:rPr>
        <w:t>(Khaveh et al., 2012)</w:t>
      </w:r>
      <w:r w:rsidRPr="00FF7E71">
        <w:rPr>
          <w:rFonts w:ascii="Times New Roman" w:hAnsi="Times New Roman" w:cs="Times New Roman"/>
          <w:sz w:val="20"/>
          <w:szCs w:val="20"/>
        </w:rPr>
        <w:t>.</w:t>
      </w:r>
    </w:p>
    <w:p w14:paraId="14208555" w14:textId="77777777" w:rsidR="00FF7E71" w:rsidRPr="00FF7E71" w:rsidRDefault="00FF7E71" w:rsidP="00FF7E71">
      <w:pPr>
        <w:spacing w:after="0" w:line="312" w:lineRule="auto"/>
        <w:jc w:val="both"/>
        <w:rPr>
          <w:rFonts w:ascii="Times New Roman" w:hAnsi="Times New Roman" w:cs="Times New Roman"/>
          <w:sz w:val="20"/>
          <w:szCs w:val="20"/>
        </w:rPr>
      </w:pPr>
    </w:p>
    <w:p w14:paraId="3EA7D4B0"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Sustainability reports have become commonplace for companies to communicate their non-financial performance and initiatives to their stakeholders. These reports are now part of mandatory disclosures for listed companies (“issuers”) in Singapore. From financial periods ending on or after 31 December 2017, companies listed on the Singapore Exchange (SGX) were required to issue sustainability reports. Practice Note 7.6 stipulated that companies shall describe their sustainability practices on a “comply or explain” basis </w:t>
      </w:r>
      <w:r w:rsidRPr="00FF7E71">
        <w:rPr>
          <w:rFonts w:ascii="Times New Roman" w:hAnsi="Times New Roman" w:cs="Times New Roman"/>
          <w:i/>
          <w:iCs/>
          <w:sz w:val="20"/>
          <w:szCs w:val="20"/>
        </w:rPr>
        <w:t>(Chia and Wee, 2021)</w:t>
      </w:r>
      <w:r w:rsidRPr="00FF7E71">
        <w:rPr>
          <w:rFonts w:ascii="Times New Roman" w:hAnsi="Times New Roman" w:cs="Times New Roman"/>
          <w:sz w:val="20"/>
          <w:szCs w:val="20"/>
        </w:rPr>
        <w:t>. The Exchange proposed that firms may use widely adopted frameworks, such as the Global Reporting Initiative (GRI) and the Sustainability Accounting Standards Board (SASB), as a basis for sustainability reporting </w:t>
      </w:r>
      <w:r w:rsidRPr="00FF7E71">
        <w:rPr>
          <w:rFonts w:ascii="Times New Roman" w:hAnsi="Times New Roman" w:cs="Times New Roman"/>
          <w:i/>
          <w:iCs/>
          <w:sz w:val="20"/>
          <w:szCs w:val="20"/>
        </w:rPr>
        <w:t>(Loh et al., 2017). </w:t>
      </w:r>
      <w:r w:rsidRPr="00FF7E71">
        <w:rPr>
          <w:rFonts w:ascii="Times New Roman" w:hAnsi="Times New Roman" w:cs="Times New Roman"/>
          <w:sz w:val="20"/>
          <w:szCs w:val="20"/>
        </w:rPr>
        <w:t>The use of standard frameworks allows for comparability. This also avoids the need for companies to use costly sustainability initiatives to reduce information asymmetry. (Connelly, Ketchen &amp; Slater, 2011)</w:t>
      </w:r>
    </w:p>
    <w:p w14:paraId="4797305D" w14:textId="77777777" w:rsidR="00FF7E71" w:rsidRPr="00FF7E71" w:rsidRDefault="00FF7E71" w:rsidP="00FF7E71">
      <w:pPr>
        <w:spacing w:after="0" w:line="312" w:lineRule="auto"/>
        <w:jc w:val="both"/>
        <w:rPr>
          <w:rFonts w:ascii="Times New Roman" w:hAnsi="Times New Roman" w:cs="Times New Roman"/>
          <w:sz w:val="20"/>
          <w:szCs w:val="20"/>
        </w:rPr>
      </w:pPr>
    </w:p>
    <w:p w14:paraId="0E27441E"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Following the “Sustainability Reporting Review 2021” by the Task Force on Climate-related Financial Disclosures (TCFD), SGX has moved to strengthen its sustainability reporting requirements. From 1 January 2022, issuers must perform ‘climate reporting’. This will become mandatory for issuers in the (a) financial industry, (b) agriculture, food and forest products industry, (c) energy industry, (d) materials and buildings industry, and (e) transportation industry. A “mandatory” requirement departs from the prior position of “comply or explain”. This shift in regulation signals the Exchange’s initiative to combat climate change and its value on non-financial information such as sustainability reports, allowing stakeholders to assess better the issuer’s financial prospects and quality of management </w:t>
      </w:r>
      <w:r w:rsidRPr="00FF7E71">
        <w:rPr>
          <w:rFonts w:ascii="Times New Roman" w:hAnsi="Times New Roman" w:cs="Times New Roman"/>
          <w:i/>
          <w:iCs/>
          <w:sz w:val="20"/>
          <w:szCs w:val="20"/>
        </w:rPr>
        <w:t>(Singapore Exchange, 2022)</w:t>
      </w:r>
      <w:r w:rsidRPr="00FF7E71">
        <w:rPr>
          <w:rFonts w:ascii="Times New Roman" w:hAnsi="Times New Roman" w:cs="Times New Roman"/>
          <w:sz w:val="20"/>
          <w:szCs w:val="20"/>
        </w:rPr>
        <w:t>. </w:t>
      </w:r>
    </w:p>
    <w:p w14:paraId="136CEEB2" w14:textId="77777777" w:rsidR="00FF7E71" w:rsidRPr="00FF7E71" w:rsidRDefault="00FF7E71" w:rsidP="00FF7E71">
      <w:pPr>
        <w:spacing w:after="0" w:line="312" w:lineRule="auto"/>
        <w:jc w:val="both"/>
        <w:rPr>
          <w:rFonts w:ascii="Times New Roman" w:hAnsi="Times New Roman" w:cs="Times New Roman"/>
          <w:sz w:val="20"/>
          <w:szCs w:val="20"/>
        </w:rPr>
      </w:pPr>
    </w:p>
    <w:p w14:paraId="47C7EC02" w14:textId="77777777" w:rsidR="00536438" w:rsidRDefault="00536438">
      <w:pPr>
        <w:rPr>
          <w:rFonts w:ascii="Times New Roman" w:hAnsi="Times New Roman" w:cs="Times New Roman"/>
          <w:sz w:val="20"/>
          <w:szCs w:val="20"/>
        </w:rPr>
      </w:pPr>
      <w:r>
        <w:rPr>
          <w:rFonts w:ascii="Times New Roman" w:hAnsi="Times New Roman" w:cs="Times New Roman"/>
          <w:sz w:val="20"/>
          <w:szCs w:val="20"/>
        </w:rPr>
        <w:br w:type="page"/>
      </w:r>
    </w:p>
    <w:p w14:paraId="550DD431" w14:textId="352BDCAF"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lastRenderedPageBreak/>
        <w:t>There has been a heightened emphasis on climate change and increasing prominence of social issues in recent years. Regulatory and social developments may result in varied impacts on sustainability disclosures on corporate financial performance (CFP) compared to findings in prior studies. </w:t>
      </w:r>
      <w:r w:rsidRPr="00676B2C">
        <w:rPr>
          <w:rFonts w:ascii="Times New Roman" w:hAnsi="Times New Roman" w:cs="Times New Roman"/>
          <w:sz w:val="20"/>
          <w:szCs w:val="20"/>
        </w:rPr>
        <w:t>For example,</w:t>
      </w:r>
      <w:r w:rsidRPr="00FF7E71">
        <w:rPr>
          <w:rFonts w:ascii="Times New Roman" w:hAnsi="Times New Roman" w:cs="Times New Roman"/>
          <w:i/>
          <w:iCs/>
          <w:sz w:val="20"/>
          <w:szCs w:val="20"/>
        </w:rPr>
        <w:t xml:space="preserve"> Loh et al., 2017 </w:t>
      </w:r>
      <w:r w:rsidRPr="00FF7E71">
        <w:rPr>
          <w:rFonts w:ascii="Times New Roman" w:hAnsi="Times New Roman" w:cs="Times New Roman"/>
          <w:sz w:val="20"/>
          <w:szCs w:val="20"/>
        </w:rPr>
        <w:t>studied the relationship between CSR disclosures and CFP when SGX instituted a “comply or explain” regime</w:t>
      </w:r>
      <w:r w:rsidR="00676B2C">
        <w:rPr>
          <w:rFonts w:ascii="Times New Roman" w:hAnsi="Times New Roman" w:cs="Times New Roman"/>
          <w:sz w:val="20"/>
          <w:szCs w:val="20"/>
        </w:rPr>
        <w:t>.</w:t>
      </w:r>
      <w:r w:rsidRPr="00FF7E71">
        <w:rPr>
          <w:rFonts w:ascii="Times New Roman" w:hAnsi="Times New Roman" w:cs="Times New Roman"/>
          <w:sz w:val="20"/>
          <w:szCs w:val="20"/>
        </w:rPr>
        <w:t xml:space="preserve"> </w:t>
      </w:r>
      <w:r w:rsidR="00676B2C">
        <w:rPr>
          <w:rFonts w:ascii="Times New Roman" w:hAnsi="Times New Roman" w:cs="Times New Roman"/>
          <w:sz w:val="20"/>
          <w:szCs w:val="20"/>
        </w:rPr>
        <w:t xml:space="preserve">This was a change from its previous position – </w:t>
      </w:r>
      <w:r w:rsidRPr="00FF7E71">
        <w:rPr>
          <w:rFonts w:ascii="Times New Roman" w:hAnsi="Times New Roman" w:cs="Times New Roman"/>
          <w:sz w:val="20"/>
          <w:szCs w:val="20"/>
        </w:rPr>
        <w:t>encouraged but voluntary disclosures. At this juncture where SGX is strengthening its requirements – making CSR disclosures mandatory for TCFD-identified industries, this study will examine if the relationship for Singapore-listed companies is materially different.</w:t>
      </w:r>
    </w:p>
    <w:p w14:paraId="0E92381E" w14:textId="77777777" w:rsidR="00FF7E71" w:rsidRPr="00FF7E71" w:rsidRDefault="00FF7E71" w:rsidP="00FF7E71">
      <w:pPr>
        <w:spacing w:after="0" w:line="312" w:lineRule="auto"/>
        <w:jc w:val="both"/>
        <w:rPr>
          <w:rFonts w:ascii="Times New Roman" w:hAnsi="Times New Roman" w:cs="Times New Roman"/>
          <w:sz w:val="20"/>
          <w:szCs w:val="20"/>
        </w:rPr>
      </w:pPr>
    </w:p>
    <w:p w14:paraId="1A7F81FC"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There were studies conducted using empirical evidence from listed companies in Singapore (</w:t>
      </w:r>
      <w:r w:rsidRPr="00FF7E71">
        <w:rPr>
          <w:rFonts w:ascii="Times New Roman" w:hAnsi="Times New Roman" w:cs="Times New Roman"/>
          <w:i/>
          <w:iCs/>
          <w:sz w:val="20"/>
          <w:szCs w:val="20"/>
        </w:rPr>
        <w:t>Tsang, 1998; Loh et al., 2017; Wahyuningrum et al., 2021</w:t>
      </w:r>
      <w:r w:rsidRPr="00FF7E71">
        <w:rPr>
          <w:rFonts w:ascii="Times New Roman" w:hAnsi="Times New Roman" w:cs="Times New Roman"/>
          <w:sz w:val="20"/>
          <w:szCs w:val="20"/>
        </w:rPr>
        <w:t>), as well as other jurisdictions – Malaysia (</w:t>
      </w:r>
      <w:r w:rsidRPr="00FF7E71">
        <w:rPr>
          <w:rFonts w:ascii="Times New Roman" w:hAnsi="Times New Roman" w:cs="Times New Roman"/>
          <w:i/>
          <w:iCs/>
          <w:sz w:val="20"/>
          <w:szCs w:val="20"/>
        </w:rPr>
        <w:t>Kasbun et al., 2017</w:t>
      </w:r>
      <w:r w:rsidRPr="00FF7E71">
        <w:rPr>
          <w:rFonts w:ascii="Times New Roman" w:hAnsi="Times New Roman" w:cs="Times New Roman"/>
          <w:sz w:val="20"/>
          <w:szCs w:val="20"/>
        </w:rPr>
        <w:t>), India (</w:t>
      </w:r>
      <w:r w:rsidRPr="00FF7E71">
        <w:rPr>
          <w:rFonts w:ascii="Times New Roman" w:hAnsi="Times New Roman" w:cs="Times New Roman"/>
          <w:i/>
          <w:iCs/>
          <w:sz w:val="20"/>
          <w:szCs w:val="20"/>
        </w:rPr>
        <w:t>Aggarwal, 2013-a; Motwani and Pandya, 2016</w:t>
      </w:r>
      <w:r w:rsidRPr="00FF7E71">
        <w:rPr>
          <w:rFonts w:ascii="Times New Roman" w:hAnsi="Times New Roman" w:cs="Times New Roman"/>
          <w:sz w:val="20"/>
          <w:szCs w:val="20"/>
        </w:rPr>
        <w:t>), Brazil (</w:t>
      </w:r>
      <w:r w:rsidRPr="00FF7E71">
        <w:rPr>
          <w:rFonts w:ascii="Times New Roman" w:hAnsi="Times New Roman" w:cs="Times New Roman"/>
          <w:i/>
          <w:iCs/>
          <w:sz w:val="20"/>
          <w:szCs w:val="20"/>
        </w:rPr>
        <w:t>Ching et al., 2017)</w:t>
      </w:r>
      <w:r w:rsidRPr="00FF7E71">
        <w:rPr>
          <w:rFonts w:ascii="Times New Roman" w:hAnsi="Times New Roman" w:cs="Times New Roman"/>
          <w:sz w:val="20"/>
          <w:szCs w:val="20"/>
        </w:rPr>
        <w:t>, Australia (</w:t>
      </w:r>
      <w:r w:rsidRPr="00FF7E71">
        <w:rPr>
          <w:rFonts w:ascii="Times New Roman" w:hAnsi="Times New Roman" w:cs="Times New Roman"/>
          <w:i/>
          <w:iCs/>
          <w:sz w:val="20"/>
          <w:szCs w:val="20"/>
        </w:rPr>
        <w:t>Jones et al., 2007)</w:t>
      </w:r>
      <w:r w:rsidRPr="00FF7E71">
        <w:rPr>
          <w:rFonts w:ascii="Times New Roman" w:hAnsi="Times New Roman" w:cs="Times New Roman"/>
          <w:sz w:val="20"/>
          <w:szCs w:val="20"/>
        </w:rPr>
        <w:t>. These studies regressed financial metrics against sustainability indicators at a point in time. In determining inputs for sustainability indicators, these studies used simple, self-developed scoring methods to assess the quantity and quality of disclosures. These approaches will be discussed in the subsequent section.</w:t>
      </w:r>
    </w:p>
    <w:p w14:paraId="28AA6508" w14:textId="77777777" w:rsidR="00FF7E71" w:rsidRPr="00FF7E71" w:rsidRDefault="00FF7E71" w:rsidP="00FF7E71">
      <w:pPr>
        <w:spacing w:after="0" w:line="312" w:lineRule="auto"/>
        <w:jc w:val="both"/>
        <w:rPr>
          <w:rFonts w:ascii="Times New Roman" w:hAnsi="Times New Roman" w:cs="Times New Roman"/>
          <w:sz w:val="20"/>
          <w:szCs w:val="20"/>
        </w:rPr>
      </w:pPr>
    </w:p>
    <w:p w14:paraId="2BF2BE7F"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 proposed study will adapt prior approaches and proposed new methods in assessing the relationship between CSR disclosures and CFP. Two Natural Language Processing (NLP) techniques are adopted to analyse annual reports – topical modelling (</w:t>
      </w:r>
      <w:r w:rsidRPr="00FF7E71">
        <w:rPr>
          <w:rFonts w:ascii="Times New Roman" w:hAnsi="Times New Roman" w:cs="Times New Roman"/>
          <w:i/>
          <w:iCs/>
          <w:sz w:val="20"/>
          <w:szCs w:val="20"/>
        </w:rPr>
        <w:t>Rehurek and Sojka, 2011</w:t>
      </w:r>
      <w:r w:rsidRPr="00FF7E71">
        <w:rPr>
          <w:rFonts w:ascii="Times New Roman" w:hAnsi="Times New Roman" w:cs="Times New Roman"/>
          <w:sz w:val="20"/>
          <w:szCs w:val="20"/>
        </w:rPr>
        <w:t>) and sentiment analysis </w:t>
      </w:r>
      <w:r w:rsidRPr="00FF7E71">
        <w:rPr>
          <w:rFonts w:ascii="Times New Roman" w:hAnsi="Times New Roman" w:cs="Times New Roman"/>
          <w:i/>
          <w:iCs/>
          <w:sz w:val="20"/>
          <w:szCs w:val="20"/>
        </w:rPr>
        <w:t>(Pang et al., 2002)</w:t>
      </w:r>
      <w:r w:rsidRPr="00FF7E71">
        <w:rPr>
          <w:rFonts w:ascii="Times New Roman" w:hAnsi="Times New Roman" w:cs="Times New Roman"/>
          <w:sz w:val="20"/>
          <w:szCs w:val="20"/>
        </w:rPr>
        <w:t>. These approaches provide a robust yet different dimension of text mining sustainability reports. Input variables from this analysis are regressed against indicators of CFP, such as Return on Equity (ROE) and Return on Assets (ROA), amongst others. The approach will be discussed further in the Methodology section.</w:t>
      </w:r>
    </w:p>
    <w:p w14:paraId="1A82D8C5" w14:textId="77777777" w:rsidR="00FF7E71" w:rsidRPr="00FF7E71" w:rsidRDefault="00FF7E71" w:rsidP="00FF7E71">
      <w:pPr>
        <w:spacing w:after="0" w:line="312" w:lineRule="auto"/>
        <w:jc w:val="both"/>
        <w:rPr>
          <w:rFonts w:ascii="Times New Roman" w:hAnsi="Times New Roman" w:cs="Times New Roman"/>
          <w:sz w:val="20"/>
          <w:szCs w:val="20"/>
        </w:rPr>
      </w:pPr>
    </w:p>
    <w:p w14:paraId="28C2ADBF"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 research questions are, in the context of Singapore-listed companies:</w:t>
      </w:r>
    </w:p>
    <w:p w14:paraId="4F904A5C" w14:textId="77777777" w:rsidR="00FF7E71" w:rsidRPr="00FF7E71" w:rsidRDefault="00FF7E71" w:rsidP="00FF7E71">
      <w:pPr>
        <w:spacing w:after="0" w:line="312" w:lineRule="auto"/>
        <w:jc w:val="both"/>
        <w:rPr>
          <w:rFonts w:ascii="Times New Roman" w:hAnsi="Times New Roman" w:cs="Times New Roman"/>
          <w:sz w:val="20"/>
          <w:szCs w:val="20"/>
        </w:rPr>
      </w:pPr>
    </w:p>
    <w:p w14:paraId="6D817A52" w14:textId="77777777" w:rsidR="00FF7E71" w:rsidRPr="00FF7E71" w:rsidRDefault="00FF7E71" w:rsidP="00FF7E71">
      <w:pPr>
        <w:pStyle w:val="ListParagraph"/>
        <w:numPr>
          <w:ilvl w:val="0"/>
          <w:numId w:val="8"/>
        </w:num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What are the most prominent topics in sustainability reports from an exploratory topic modelling analysis? Will this resemble the disclosure themes in frameworks like the GRI and SASB?</w:t>
      </w:r>
    </w:p>
    <w:p w14:paraId="1B3E7FE5" w14:textId="77777777" w:rsidR="00FF7E71" w:rsidRPr="00FF7E71" w:rsidRDefault="00FF7E71" w:rsidP="00FF7E71">
      <w:pPr>
        <w:spacing w:after="0" w:line="312" w:lineRule="auto"/>
        <w:jc w:val="both"/>
        <w:rPr>
          <w:rFonts w:ascii="Times New Roman" w:hAnsi="Times New Roman" w:cs="Times New Roman"/>
          <w:sz w:val="20"/>
          <w:szCs w:val="20"/>
        </w:rPr>
      </w:pPr>
    </w:p>
    <w:p w14:paraId="47BD4171" w14:textId="77777777" w:rsidR="00FF7E71" w:rsidRPr="00FF7E71" w:rsidRDefault="00FF7E71" w:rsidP="00FF7E71">
      <w:pPr>
        <w:pStyle w:val="ListParagraph"/>
        <w:numPr>
          <w:ilvl w:val="0"/>
          <w:numId w:val="8"/>
        </w:num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How do these topics identified in (1) relate to CFP?</w:t>
      </w:r>
    </w:p>
    <w:p w14:paraId="4284704E" w14:textId="77777777" w:rsidR="00FF7E71" w:rsidRPr="00FF7E71" w:rsidRDefault="00FF7E71" w:rsidP="00FF7E71">
      <w:pPr>
        <w:spacing w:after="0" w:line="312" w:lineRule="auto"/>
        <w:jc w:val="both"/>
        <w:rPr>
          <w:rFonts w:ascii="Times New Roman" w:hAnsi="Times New Roman" w:cs="Times New Roman"/>
          <w:sz w:val="20"/>
          <w:szCs w:val="20"/>
        </w:rPr>
      </w:pPr>
    </w:p>
    <w:p w14:paraId="6DD53B85" w14:textId="77777777" w:rsidR="00FF7E71" w:rsidRPr="00FF7E71" w:rsidRDefault="00FF7E71" w:rsidP="00FF7E71">
      <w:pPr>
        <w:pStyle w:val="ListParagraph"/>
        <w:numPr>
          <w:ilvl w:val="0"/>
          <w:numId w:val="8"/>
        </w:num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How does the sentiment score of a sustainability report relate to corporate financial performance?</w:t>
      </w:r>
    </w:p>
    <w:p w14:paraId="28595FB2" w14:textId="77777777" w:rsidR="00FF7E71" w:rsidRPr="00FF7E71" w:rsidRDefault="00FF7E71" w:rsidP="00FF7E71">
      <w:pPr>
        <w:spacing w:after="0" w:line="312" w:lineRule="auto"/>
        <w:jc w:val="both"/>
        <w:rPr>
          <w:rFonts w:ascii="Times New Roman" w:hAnsi="Times New Roman" w:cs="Times New Roman"/>
          <w:sz w:val="20"/>
          <w:szCs w:val="20"/>
        </w:rPr>
      </w:pPr>
    </w:p>
    <w:p w14:paraId="07B8E53E" w14:textId="77777777" w:rsidR="00FF7E71" w:rsidRPr="00FF7E71" w:rsidRDefault="00FF7E71" w:rsidP="00FF7E71">
      <w:pPr>
        <w:pStyle w:val="ListParagraph"/>
        <w:numPr>
          <w:ilvl w:val="0"/>
          <w:numId w:val="8"/>
        </w:num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Are there material differences in the relationship between CSR disclosures and CFP at this point, vis-à-vis prior studies conducted by </w:t>
      </w:r>
      <w:r w:rsidRPr="00FF7E71">
        <w:rPr>
          <w:rFonts w:ascii="Times New Roman" w:hAnsi="Times New Roman" w:cs="Times New Roman"/>
          <w:i/>
          <w:iCs/>
          <w:sz w:val="20"/>
          <w:szCs w:val="20"/>
        </w:rPr>
        <w:t>Tsang, 1998</w:t>
      </w:r>
      <w:r w:rsidRPr="00FF7E71">
        <w:rPr>
          <w:rFonts w:ascii="Times New Roman" w:hAnsi="Times New Roman" w:cs="Times New Roman"/>
          <w:sz w:val="20"/>
          <w:szCs w:val="20"/>
        </w:rPr>
        <w:t>; Loh</w:t>
      </w:r>
      <w:r w:rsidRPr="00FF7E71">
        <w:rPr>
          <w:rFonts w:ascii="Times New Roman" w:hAnsi="Times New Roman" w:cs="Times New Roman"/>
          <w:i/>
          <w:iCs/>
          <w:sz w:val="20"/>
          <w:szCs w:val="20"/>
        </w:rPr>
        <w:t> et al., 2017</w:t>
      </w:r>
      <w:r w:rsidRPr="00FF7E71">
        <w:rPr>
          <w:rFonts w:ascii="Times New Roman" w:hAnsi="Times New Roman" w:cs="Times New Roman"/>
          <w:sz w:val="20"/>
          <w:szCs w:val="20"/>
        </w:rPr>
        <w:t> and </w:t>
      </w:r>
      <w:r w:rsidRPr="00FF7E71">
        <w:rPr>
          <w:rFonts w:ascii="Times New Roman" w:hAnsi="Times New Roman" w:cs="Times New Roman"/>
          <w:i/>
          <w:iCs/>
          <w:sz w:val="20"/>
          <w:szCs w:val="20"/>
        </w:rPr>
        <w:t>Wahyuningrum et al., 2021</w:t>
      </w:r>
      <w:r w:rsidRPr="00FF7E71">
        <w:rPr>
          <w:rFonts w:ascii="Times New Roman" w:hAnsi="Times New Roman" w:cs="Times New Roman"/>
          <w:sz w:val="20"/>
          <w:szCs w:val="20"/>
        </w:rPr>
        <w:t>?</w:t>
      </w:r>
    </w:p>
    <w:p w14:paraId="5B3F2A21" w14:textId="77777777" w:rsidR="00FF7E71" w:rsidRPr="00FF7E71" w:rsidRDefault="00FF7E71" w:rsidP="00FF7E71">
      <w:pPr>
        <w:spacing w:after="0" w:line="312" w:lineRule="auto"/>
        <w:jc w:val="both"/>
        <w:rPr>
          <w:rFonts w:ascii="Times New Roman" w:hAnsi="Times New Roman" w:cs="Times New Roman"/>
          <w:sz w:val="20"/>
          <w:szCs w:val="20"/>
        </w:rPr>
      </w:pPr>
    </w:p>
    <w:p w14:paraId="07D275E8" w14:textId="77777777" w:rsidR="00FF7E71" w:rsidRDefault="00FF7E71">
      <w:pPr>
        <w:rPr>
          <w:rFonts w:ascii="Times New Roman" w:hAnsi="Times New Roman" w:cs="Times New Roman"/>
          <w:b/>
          <w:bCs/>
          <w:sz w:val="20"/>
          <w:szCs w:val="20"/>
        </w:rPr>
      </w:pPr>
      <w:r>
        <w:rPr>
          <w:rFonts w:ascii="Times New Roman" w:hAnsi="Times New Roman" w:cs="Times New Roman"/>
          <w:b/>
          <w:bCs/>
          <w:sz w:val="20"/>
          <w:szCs w:val="20"/>
        </w:rPr>
        <w:br w:type="page"/>
      </w:r>
    </w:p>
    <w:p w14:paraId="21400D15" w14:textId="0222B04F"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b/>
          <w:bCs/>
          <w:sz w:val="20"/>
          <w:szCs w:val="20"/>
        </w:rPr>
        <w:lastRenderedPageBreak/>
        <w:t>2. Literature Review</w:t>
      </w:r>
    </w:p>
    <w:p w14:paraId="314290FB"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i/>
          <w:iCs/>
          <w:sz w:val="20"/>
          <w:szCs w:val="20"/>
        </w:rPr>
        <w:t>Theoretical Discussions</w:t>
      </w:r>
    </w:p>
    <w:p w14:paraId="61C0C96B" w14:textId="77777777" w:rsidR="00FF7E71" w:rsidRPr="00FF7E71" w:rsidRDefault="00FF7E71" w:rsidP="00FF7E71">
      <w:pPr>
        <w:spacing w:after="0" w:line="312" w:lineRule="auto"/>
        <w:jc w:val="both"/>
        <w:rPr>
          <w:rFonts w:ascii="Times New Roman" w:hAnsi="Times New Roman" w:cs="Times New Roman"/>
          <w:sz w:val="20"/>
          <w:szCs w:val="20"/>
        </w:rPr>
      </w:pPr>
    </w:p>
    <w:p w14:paraId="3BFBFEB7" w14:textId="0B46E850"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i/>
          <w:iCs/>
          <w:sz w:val="20"/>
          <w:szCs w:val="20"/>
        </w:rPr>
        <w:t>Sustainability reporting</w:t>
      </w:r>
      <w:r w:rsidRPr="00FF7E71">
        <w:rPr>
          <w:rFonts w:ascii="Times New Roman" w:hAnsi="Times New Roman" w:cs="Times New Roman"/>
          <w:sz w:val="20"/>
          <w:szCs w:val="20"/>
        </w:rPr>
        <w:t> is a complex phenomenon that a single theory cannot explain (</w:t>
      </w:r>
      <w:r w:rsidRPr="00FF7E71">
        <w:rPr>
          <w:rFonts w:ascii="Times New Roman" w:hAnsi="Times New Roman" w:cs="Times New Roman"/>
          <w:i/>
          <w:iCs/>
          <w:sz w:val="20"/>
          <w:szCs w:val="20"/>
        </w:rPr>
        <w:t>Cormier et al., 2005; Tagesson et al., 2009</w:t>
      </w:r>
      <w:r w:rsidRPr="00FF7E71">
        <w:rPr>
          <w:rFonts w:ascii="Times New Roman" w:hAnsi="Times New Roman" w:cs="Times New Roman"/>
          <w:sz w:val="20"/>
          <w:szCs w:val="20"/>
        </w:rPr>
        <w:t>)</w:t>
      </w:r>
      <w:r w:rsidR="00676B2C">
        <w:rPr>
          <w:rFonts w:ascii="Times New Roman" w:hAnsi="Times New Roman" w:cs="Times New Roman"/>
          <w:sz w:val="20"/>
          <w:szCs w:val="20"/>
        </w:rPr>
        <w:t>.</w:t>
      </w:r>
      <w:r w:rsidRPr="00FF7E71">
        <w:rPr>
          <w:rFonts w:ascii="Times New Roman" w:hAnsi="Times New Roman" w:cs="Times New Roman"/>
          <w:sz w:val="20"/>
          <w:szCs w:val="20"/>
        </w:rPr>
        <w:t xml:space="preserve"> Therefore, unifying all empirical findings within one theoretical framework remains a challenge. Nevertheless, a combination of several theories – the legitimacy, signalling, and agency theory – aids an understanding of the theoretical relationship between CSR disclosures and financial performance.</w:t>
      </w:r>
    </w:p>
    <w:p w14:paraId="4D677B16" w14:textId="77777777" w:rsidR="00FF7E71" w:rsidRPr="00FF7E71" w:rsidRDefault="00FF7E71" w:rsidP="00FF7E71">
      <w:pPr>
        <w:spacing w:after="0" w:line="312" w:lineRule="auto"/>
        <w:jc w:val="both"/>
        <w:rPr>
          <w:rFonts w:ascii="Times New Roman" w:hAnsi="Times New Roman" w:cs="Times New Roman"/>
          <w:sz w:val="20"/>
          <w:szCs w:val="20"/>
        </w:rPr>
      </w:pPr>
    </w:p>
    <w:p w14:paraId="15E9D535"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 legitimacy theory suggests that it is necessary to achieve society’s approval for the company to survive. Companies need to act in congruence with society to uphold their business activities. (</w:t>
      </w:r>
      <w:r w:rsidRPr="00FF7E71">
        <w:rPr>
          <w:rFonts w:ascii="Times New Roman" w:hAnsi="Times New Roman" w:cs="Times New Roman"/>
          <w:i/>
          <w:iCs/>
          <w:sz w:val="20"/>
          <w:szCs w:val="20"/>
        </w:rPr>
        <w:t>O’Donovan, 2002</w:t>
      </w:r>
      <w:r w:rsidRPr="00FF7E71">
        <w:rPr>
          <w:rFonts w:ascii="Times New Roman" w:hAnsi="Times New Roman" w:cs="Times New Roman"/>
          <w:sz w:val="20"/>
          <w:szCs w:val="20"/>
        </w:rPr>
        <w:t>). Companies are encouraged to seek legitimacy through disclosures (</w:t>
      </w:r>
      <w:r w:rsidRPr="00FF7E71">
        <w:rPr>
          <w:rFonts w:ascii="Times New Roman" w:hAnsi="Times New Roman" w:cs="Times New Roman"/>
          <w:i/>
          <w:iCs/>
          <w:sz w:val="20"/>
          <w:szCs w:val="20"/>
        </w:rPr>
        <w:t>Cho and Patten, 2007</w:t>
      </w:r>
      <w:r w:rsidRPr="00FF7E71">
        <w:rPr>
          <w:rFonts w:ascii="Times New Roman" w:hAnsi="Times New Roman" w:cs="Times New Roman"/>
          <w:sz w:val="20"/>
          <w:szCs w:val="20"/>
        </w:rPr>
        <w:t>). CSR disclosures provide information that legitimises the company’s behaviour to influence stakeholders’ and, eventually, society’s perceptions about the company, resulting in higher firm value and better financial performance (</w:t>
      </w:r>
      <w:r w:rsidRPr="00FF7E71">
        <w:rPr>
          <w:rFonts w:ascii="Times New Roman" w:hAnsi="Times New Roman" w:cs="Times New Roman"/>
          <w:i/>
          <w:iCs/>
          <w:sz w:val="20"/>
          <w:szCs w:val="20"/>
        </w:rPr>
        <w:t>Hooghimstra, 2002</w:t>
      </w:r>
      <w:r w:rsidRPr="00FF7E71">
        <w:rPr>
          <w:rFonts w:ascii="Times New Roman" w:hAnsi="Times New Roman" w:cs="Times New Roman"/>
          <w:sz w:val="20"/>
          <w:szCs w:val="20"/>
        </w:rPr>
        <w:t>). These are exemplified through the topics companies choose to report.</w:t>
      </w:r>
    </w:p>
    <w:p w14:paraId="46A52067" w14:textId="77777777" w:rsidR="00FF7E71" w:rsidRPr="00FF7E71" w:rsidRDefault="00FF7E71" w:rsidP="00FF7E71">
      <w:pPr>
        <w:spacing w:after="0" w:line="312" w:lineRule="auto"/>
        <w:jc w:val="both"/>
        <w:rPr>
          <w:rFonts w:ascii="Times New Roman" w:hAnsi="Times New Roman" w:cs="Times New Roman"/>
          <w:sz w:val="20"/>
          <w:szCs w:val="20"/>
        </w:rPr>
      </w:pPr>
    </w:p>
    <w:p w14:paraId="47D8FA91"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Signalling theory underpins the notion that an agent (company executives) conveys information to the principal (stakeholders). In the context of sustainability, investors and consumers have difficulties in determining which firms are genuinely committed to sustainability. (</w:t>
      </w:r>
      <w:r w:rsidRPr="00FF7E71">
        <w:rPr>
          <w:rFonts w:ascii="Times New Roman" w:hAnsi="Times New Roman" w:cs="Times New Roman"/>
          <w:i/>
          <w:iCs/>
          <w:sz w:val="20"/>
          <w:szCs w:val="20"/>
        </w:rPr>
        <w:t>Connelly et al., 2011</w:t>
      </w:r>
      <w:r w:rsidRPr="00FF7E71">
        <w:rPr>
          <w:rFonts w:ascii="Times New Roman" w:hAnsi="Times New Roman" w:cs="Times New Roman"/>
          <w:sz w:val="20"/>
          <w:szCs w:val="20"/>
        </w:rPr>
        <w:t>) Companies that disclose environmental issues signal that they are engaged in proactive environmental strategy. There is an incentive to inform principals by voluntarily disclosing more, as positive signals are more appealing</w:t>
      </w:r>
      <w:r w:rsidRPr="00FF7E71">
        <w:rPr>
          <w:rFonts w:ascii="Times New Roman" w:hAnsi="Times New Roman" w:cs="Times New Roman"/>
          <w:i/>
          <w:iCs/>
          <w:sz w:val="20"/>
          <w:szCs w:val="20"/>
        </w:rPr>
        <w:t> </w:t>
      </w:r>
      <w:r w:rsidRPr="00FF7E71">
        <w:rPr>
          <w:rFonts w:ascii="Times New Roman" w:hAnsi="Times New Roman" w:cs="Times New Roman"/>
          <w:sz w:val="20"/>
          <w:szCs w:val="20"/>
        </w:rPr>
        <w:t>(</w:t>
      </w:r>
      <w:r w:rsidRPr="00FF7E71">
        <w:rPr>
          <w:rFonts w:ascii="Times New Roman" w:hAnsi="Times New Roman" w:cs="Times New Roman"/>
          <w:i/>
          <w:iCs/>
          <w:sz w:val="20"/>
          <w:szCs w:val="20"/>
        </w:rPr>
        <w:t>Clarkson et al., 2008</w:t>
      </w:r>
      <w:r w:rsidRPr="00FF7E71">
        <w:rPr>
          <w:rFonts w:ascii="Times New Roman" w:hAnsi="Times New Roman" w:cs="Times New Roman"/>
          <w:sz w:val="20"/>
          <w:szCs w:val="20"/>
        </w:rPr>
        <w:t>). Sentiment analysis of sustainability reports may reveal insights into the relationship between the sentiments expressed in these reports and financial performance.</w:t>
      </w:r>
    </w:p>
    <w:p w14:paraId="6A115CC6" w14:textId="77777777" w:rsidR="00FF7E71" w:rsidRPr="00FF7E71" w:rsidRDefault="00FF7E71" w:rsidP="00FF7E71">
      <w:pPr>
        <w:spacing w:after="0" w:line="312" w:lineRule="auto"/>
        <w:jc w:val="both"/>
        <w:rPr>
          <w:rFonts w:ascii="Times New Roman" w:hAnsi="Times New Roman" w:cs="Times New Roman"/>
          <w:sz w:val="20"/>
          <w:szCs w:val="20"/>
        </w:rPr>
      </w:pPr>
    </w:p>
    <w:p w14:paraId="3720F870"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In tandem with agency theory, voluntary disclosure of firms, mainly on social and environmental aspects, is a means to reduce current or potential agency costs that may occur in the form of legislation and regulation (</w:t>
      </w:r>
      <w:r w:rsidRPr="00FF7E71">
        <w:rPr>
          <w:rFonts w:ascii="Times New Roman" w:hAnsi="Times New Roman" w:cs="Times New Roman"/>
          <w:i/>
          <w:iCs/>
          <w:sz w:val="20"/>
          <w:szCs w:val="20"/>
        </w:rPr>
        <w:t>Galani et al., 2012</w:t>
      </w:r>
      <w:r w:rsidRPr="00FF7E71">
        <w:rPr>
          <w:rFonts w:ascii="Times New Roman" w:hAnsi="Times New Roman" w:cs="Times New Roman"/>
          <w:sz w:val="20"/>
          <w:szCs w:val="20"/>
        </w:rPr>
        <w:t>). This would close the gap between the misalignment of objectives between principals and their agents. By way of reducing information asymmetry, sustainability reporting would have positive effects on a firm’s perception.</w:t>
      </w:r>
    </w:p>
    <w:p w14:paraId="06E7B8BB" w14:textId="77777777" w:rsidR="00FF7E71" w:rsidRPr="00FF7E71" w:rsidRDefault="00FF7E71" w:rsidP="00FF7E71">
      <w:pPr>
        <w:spacing w:after="0" w:line="312" w:lineRule="auto"/>
        <w:jc w:val="both"/>
        <w:rPr>
          <w:rFonts w:ascii="Times New Roman" w:hAnsi="Times New Roman" w:cs="Times New Roman"/>
          <w:sz w:val="20"/>
          <w:szCs w:val="20"/>
        </w:rPr>
      </w:pPr>
    </w:p>
    <w:p w14:paraId="02A6A1D3"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i/>
          <w:iCs/>
          <w:sz w:val="20"/>
          <w:szCs w:val="20"/>
        </w:rPr>
        <w:t>Conceptual Frameworks</w:t>
      </w:r>
    </w:p>
    <w:p w14:paraId="4D9ABE7E" w14:textId="77777777" w:rsidR="00FF7E71" w:rsidRPr="00FF7E71" w:rsidRDefault="00FF7E71" w:rsidP="00FF7E71">
      <w:pPr>
        <w:spacing w:after="0" w:line="312" w:lineRule="auto"/>
        <w:jc w:val="both"/>
        <w:rPr>
          <w:rFonts w:ascii="Times New Roman" w:hAnsi="Times New Roman" w:cs="Times New Roman"/>
          <w:sz w:val="20"/>
          <w:szCs w:val="20"/>
        </w:rPr>
      </w:pPr>
    </w:p>
    <w:p w14:paraId="448AD35F" w14:textId="56EC42E1" w:rsid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Conceptual frameworks expanded on the classical theoretical foundations in providing a contextual understanding of this phenomenon. </w:t>
      </w:r>
      <w:r w:rsidRPr="00FF7E71">
        <w:rPr>
          <w:rFonts w:ascii="Times New Roman" w:hAnsi="Times New Roman" w:cs="Times New Roman"/>
          <w:i/>
          <w:iCs/>
          <w:sz w:val="20"/>
          <w:szCs w:val="20"/>
        </w:rPr>
        <w:t>Richardson et al. (1999)</w:t>
      </w:r>
      <w:r w:rsidRPr="00FF7E71">
        <w:rPr>
          <w:rFonts w:ascii="Times New Roman" w:hAnsi="Times New Roman" w:cs="Times New Roman"/>
          <w:sz w:val="20"/>
          <w:szCs w:val="20"/>
        </w:rPr>
        <w:t> propose</w:t>
      </w:r>
      <w:r w:rsidR="00676B2C">
        <w:rPr>
          <w:rFonts w:ascii="Times New Roman" w:hAnsi="Times New Roman" w:cs="Times New Roman"/>
          <w:sz w:val="20"/>
          <w:szCs w:val="20"/>
        </w:rPr>
        <w:t>s</w:t>
      </w:r>
      <w:r w:rsidRPr="00FF7E71">
        <w:rPr>
          <w:rFonts w:ascii="Times New Roman" w:hAnsi="Times New Roman" w:cs="Times New Roman"/>
          <w:sz w:val="20"/>
          <w:szCs w:val="20"/>
        </w:rPr>
        <w:t xml:space="preserve"> a model to explain the capital market impacts of </w:t>
      </w:r>
      <w:r w:rsidR="00676B2C">
        <w:rPr>
          <w:rFonts w:ascii="Times New Roman" w:hAnsi="Times New Roman" w:cs="Times New Roman"/>
          <w:sz w:val="20"/>
          <w:szCs w:val="20"/>
        </w:rPr>
        <w:t>CSR</w:t>
      </w:r>
      <w:r w:rsidRPr="00FF7E71">
        <w:rPr>
          <w:rFonts w:ascii="Times New Roman" w:hAnsi="Times New Roman" w:cs="Times New Roman"/>
          <w:sz w:val="20"/>
          <w:szCs w:val="20"/>
        </w:rPr>
        <w:t>, shown in </w:t>
      </w:r>
      <w:r w:rsidRPr="00FF7E71">
        <w:rPr>
          <w:rFonts w:ascii="Times New Roman" w:hAnsi="Times New Roman" w:cs="Times New Roman"/>
          <w:i/>
          <w:iCs/>
          <w:sz w:val="20"/>
          <w:szCs w:val="20"/>
        </w:rPr>
        <w:t>Figure 1</w:t>
      </w:r>
      <w:r w:rsidRPr="00FF7E71">
        <w:rPr>
          <w:rFonts w:ascii="Times New Roman" w:hAnsi="Times New Roman" w:cs="Times New Roman"/>
          <w:sz w:val="20"/>
          <w:szCs w:val="20"/>
        </w:rPr>
        <w:t>. </w:t>
      </w:r>
      <w:r w:rsidRPr="00676B2C">
        <w:rPr>
          <w:rFonts w:ascii="Times New Roman" w:hAnsi="Times New Roman" w:cs="Times New Roman"/>
          <w:sz w:val="20"/>
          <w:szCs w:val="20"/>
        </w:rPr>
        <w:t>In addition,</w:t>
      </w:r>
      <w:r w:rsidRPr="00FF7E71">
        <w:rPr>
          <w:rFonts w:ascii="Times New Roman" w:hAnsi="Times New Roman" w:cs="Times New Roman"/>
          <w:i/>
          <w:iCs/>
          <w:sz w:val="20"/>
          <w:szCs w:val="20"/>
        </w:rPr>
        <w:t xml:space="preserve"> Reddy and Gordon (2010)</w:t>
      </w:r>
      <w:r w:rsidRPr="00FF7E71">
        <w:rPr>
          <w:rFonts w:ascii="Times New Roman" w:hAnsi="Times New Roman" w:cs="Times New Roman"/>
          <w:sz w:val="20"/>
          <w:szCs w:val="20"/>
        </w:rPr>
        <w:t xml:space="preserve"> present a conceptual framework to explain the causality of corporate environmental efforts with firm value, shown in </w:t>
      </w:r>
      <w:r w:rsidRPr="00FF7E71">
        <w:rPr>
          <w:rFonts w:ascii="Times New Roman" w:hAnsi="Times New Roman" w:cs="Times New Roman"/>
          <w:i/>
          <w:iCs/>
          <w:sz w:val="20"/>
          <w:szCs w:val="20"/>
        </w:rPr>
        <w:t>Figure 2</w:t>
      </w:r>
      <w:r w:rsidRPr="00FF7E71">
        <w:rPr>
          <w:rFonts w:ascii="Times New Roman" w:hAnsi="Times New Roman" w:cs="Times New Roman"/>
          <w:sz w:val="20"/>
          <w:szCs w:val="20"/>
        </w:rPr>
        <w:t>.</w:t>
      </w:r>
    </w:p>
    <w:p w14:paraId="0348073F" w14:textId="7D4ABF9E" w:rsidR="00FF7E71" w:rsidRDefault="00FF7E71" w:rsidP="00FF7E71">
      <w:pPr>
        <w:spacing w:after="0" w:line="312" w:lineRule="auto"/>
        <w:jc w:val="both"/>
        <w:rPr>
          <w:rFonts w:ascii="Times New Roman" w:hAnsi="Times New Roman" w:cs="Times New Roman"/>
          <w:sz w:val="20"/>
          <w:szCs w:val="20"/>
        </w:rPr>
      </w:pPr>
    </w:p>
    <w:p w14:paraId="7A02BF2B"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These conceptual frameworks suggest that CSR efforts will impact firm value. For example, a key intermediary in the process is signalling through disclosures. Communicating their efforts through disclosures would affect perceptions of risk, performance, and management, leading to effects on CFP.</w:t>
      </w:r>
    </w:p>
    <w:p w14:paraId="37A61865" w14:textId="77777777" w:rsidR="00FF7E71" w:rsidRPr="00FF7E71" w:rsidRDefault="00FF7E71" w:rsidP="00FF7E71">
      <w:pPr>
        <w:spacing w:after="0" w:line="312" w:lineRule="auto"/>
        <w:jc w:val="both"/>
        <w:rPr>
          <w:rFonts w:ascii="Times New Roman" w:hAnsi="Times New Roman" w:cs="Times New Roman"/>
          <w:sz w:val="20"/>
          <w:szCs w:val="20"/>
        </w:rPr>
      </w:pPr>
    </w:p>
    <w:p w14:paraId="19C35AD7" w14:textId="76809F74" w:rsidR="00034900" w:rsidRPr="00FF7E71" w:rsidRDefault="00034900" w:rsidP="00FF7E71">
      <w:pPr>
        <w:spacing w:after="0" w:line="312" w:lineRule="auto"/>
        <w:jc w:val="both"/>
        <w:rPr>
          <w:rFonts w:ascii="Times New Roman" w:hAnsi="Times New Roman" w:cs="Times New Roman"/>
          <w:sz w:val="20"/>
          <w:szCs w:val="20"/>
        </w:rPr>
      </w:pPr>
    </w:p>
    <w:p w14:paraId="3F720B91" w14:textId="3145EA78" w:rsidR="00034900" w:rsidRPr="00FF7E71" w:rsidRDefault="00034900" w:rsidP="00FF7E71">
      <w:pPr>
        <w:spacing w:after="0" w:line="312" w:lineRule="auto"/>
        <w:jc w:val="center"/>
        <w:rPr>
          <w:rFonts w:ascii="Times New Roman" w:hAnsi="Times New Roman" w:cs="Times New Roman"/>
          <w:sz w:val="20"/>
          <w:szCs w:val="20"/>
        </w:rPr>
      </w:pPr>
      <w:r w:rsidRPr="00FF7E71">
        <w:rPr>
          <w:rFonts w:ascii="Times New Roman" w:hAnsi="Times New Roman" w:cs="Times New Roman"/>
          <w:noProof/>
          <w:sz w:val="20"/>
          <w:szCs w:val="20"/>
        </w:rPr>
        <w:lastRenderedPageBreak/>
        <w:drawing>
          <wp:inline distT="0" distB="0" distL="0" distR="0" wp14:anchorId="4703564B" wp14:editId="525503A2">
            <wp:extent cx="3600000" cy="4282828"/>
            <wp:effectExtent l="0" t="0" r="63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600000" cy="4282828"/>
                    </a:xfrm>
                    <a:prstGeom prst="rect">
                      <a:avLst/>
                    </a:prstGeom>
                  </pic:spPr>
                </pic:pic>
              </a:graphicData>
            </a:graphic>
          </wp:inline>
        </w:drawing>
      </w:r>
    </w:p>
    <w:p w14:paraId="6240BFC1" w14:textId="3F0D9594" w:rsidR="00034900" w:rsidRPr="00FF7E71" w:rsidRDefault="00034900" w:rsidP="00FF7E71">
      <w:pPr>
        <w:spacing w:after="0" w:line="312" w:lineRule="auto"/>
        <w:jc w:val="center"/>
        <w:rPr>
          <w:rFonts w:ascii="Times New Roman" w:hAnsi="Times New Roman" w:cs="Times New Roman"/>
          <w:i/>
          <w:iCs/>
          <w:sz w:val="20"/>
          <w:szCs w:val="20"/>
        </w:rPr>
      </w:pPr>
      <w:r w:rsidRPr="00FF7E71">
        <w:rPr>
          <w:rFonts w:ascii="Times New Roman" w:hAnsi="Times New Roman" w:cs="Times New Roman"/>
          <w:i/>
          <w:iCs/>
          <w:sz w:val="20"/>
          <w:szCs w:val="20"/>
        </w:rPr>
        <w:t>Figure 1: A model of the capital market impacts of corporate social responsibility</w:t>
      </w:r>
      <w:r w:rsidR="00676B2C">
        <w:rPr>
          <w:rFonts w:ascii="Times New Roman" w:hAnsi="Times New Roman" w:cs="Times New Roman"/>
          <w:i/>
          <w:iCs/>
          <w:sz w:val="20"/>
          <w:szCs w:val="20"/>
        </w:rPr>
        <w:t xml:space="preserve"> (</w:t>
      </w:r>
      <w:r w:rsidR="00676B2C" w:rsidRPr="00676B2C">
        <w:rPr>
          <w:rFonts w:ascii="Times New Roman" w:hAnsi="Times New Roman" w:cs="Times New Roman"/>
          <w:i/>
          <w:iCs/>
          <w:sz w:val="20"/>
          <w:szCs w:val="20"/>
        </w:rPr>
        <w:t>Richardson et al.</w:t>
      </w:r>
      <w:r w:rsidR="00676B2C">
        <w:rPr>
          <w:rFonts w:ascii="Times New Roman" w:hAnsi="Times New Roman" w:cs="Times New Roman"/>
          <w:i/>
          <w:iCs/>
          <w:sz w:val="20"/>
          <w:szCs w:val="20"/>
        </w:rPr>
        <w:t xml:space="preserve">, </w:t>
      </w:r>
      <w:r w:rsidR="00676B2C" w:rsidRPr="00676B2C">
        <w:rPr>
          <w:rFonts w:ascii="Times New Roman" w:hAnsi="Times New Roman" w:cs="Times New Roman"/>
          <w:i/>
          <w:iCs/>
          <w:sz w:val="20"/>
          <w:szCs w:val="20"/>
        </w:rPr>
        <w:t>1999</w:t>
      </w:r>
      <w:r w:rsidR="00676B2C">
        <w:rPr>
          <w:rFonts w:ascii="Times New Roman" w:hAnsi="Times New Roman" w:cs="Times New Roman"/>
          <w:i/>
          <w:iCs/>
          <w:sz w:val="20"/>
          <w:szCs w:val="20"/>
        </w:rPr>
        <w:t>)</w:t>
      </w:r>
    </w:p>
    <w:p w14:paraId="3500D1AC" w14:textId="1E989E58" w:rsidR="004844AA" w:rsidRPr="00FF7E71" w:rsidRDefault="004844AA" w:rsidP="00FF7E71">
      <w:pPr>
        <w:spacing w:after="0" w:line="312" w:lineRule="auto"/>
        <w:jc w:val="both"/>
        <w:rPr>
          <w:rFonts w:ascii="Times New Roman" w:hAnsi="Times New Roman" w:cs="Times New Roman"/>
          <w:sz w:val="20"/>
          <w:szCs w:val="20"/>
        </w:rPr>
      </w:pPr>
    </w:p>
    <w:p w14:paraId="5FFF513C" w14:textId="5860B798" w:rsidR="00D7511A" w:rsidRPr="00FF7E71" w:rsidRDefault="00D7511A" w:rsidP="00FF7E71">
      <w:pPr>
        <w:spacing w:after="0" w:line="312" w:lineRule="auto"/>
        <w:jc w:val="center"/>
        <w:rPr>
          <w:rFonts w:ascii="Times New Roman" w:hAnsi="Times New Roman" w:cs="Times New Roman"/>
          <w:sz w:val="20"/>
          <w:szCs w:val="20"/>
        </w:rPr>
      </w:pPr>
      <w:r w:rsidRPr="00FF7E71">
        <w:rPr>
          <w:rFonts w:ascii="Times New Roman" w:hAnsi="Times New Roman" w:cs="Times New Roman"/>
          <w:noProof/>
          <w:sz w:val="20"/>
          <w:szCs w:val="20"/>
        </w:rPr>
        <w:drawing>
          <wp:inline distT="0" distB="0" distL="0" distR="0" wp14:anchorId="52ED5761" wp14:editId="4E4DECC6">
            <wp:extent cx="3600000" cy="2349034"/>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600000" cy="2349034"/>
                    </a:xfrm>
                    <a:prstGeom prst="rect">
                      <a:avLst/>
                    </a:prstGeom>
                  </pic:spPr>
                </pic:pic>
              </a:graphicData>
            </a:graphic>
          </wp:inline>
        </w:drawing>
      </w:r>
    </w:p>
    <w:p w14:paraId="117023B4" w14:textId="5904C94B" w:rsidR="00D7511A" w:rsidRPr="00FF7E71" w:rsidRDefault="00D7511A" w:rsidP="00FF7E71">
      <w:pPr>
        <w:spacing w:after="0" w:line="312" w:lineRule="auto"/>
        <w:jc w:val="center"/>
        <w:rPr>
          <w:rFonts w:ascii="Times New Roman" w:hAnsi="Times New Roman" w:cs="Times New Roman"/>
          <w:i/>
          <w:iCs/>
          <w:sz w:val="20"/>
          <w:szCs w:val="20"/>
        </w:rPr>
      </w:pPr>
      <w:r w:rsidRPr="00FF7E71">
        <w:rPr>
          <w:rFonts w:ascii="Times New Roman" w:hAnsi="Times New Roman" w:cs="Times New Roman"/>
          <w:i/>
          <w:iCs/>
          <w:sz w:val="20"/>
          <w:szCs w:val="20"/>
        </w:rPr>
        <w:t>Figure 2: Conceptual Model Linking Corporate Environmental Management and Performance with Firm Value</w:t>
      </w:r>
      <w:r w:rsidR="00676B2C">
        <w:rPr>
          <w:rFonts w:ascii="Times New Roman" w:hAnsi="Times New Roman" w:cs="Times New Roman"/>
          <w:i/>
          <w:iCs/>
          <w:sz w:val="20"/>
          <w:szCs w:val="20"/>
        </w:rPr>
        <w:t xml:space="preserve"> (</w:t>
      </w:r>
      <w:r w:rsidR="00676B2C" w:rsidRPr="00676B2C">
        <w:rPr>
          <w:rFonts w:ascii="Times New Roman" w:hAnsi="Times New Roman" w:cs="Times New Roman"/>
          <w:i/>
          <w:iCs/>
          <w:sz w:val="20"/>
          <w:szCs w:val="20"/>
        </w:rPr>
        <w:t xml:space="preserve">Reddy and Gordon </w:t>
      </w:r>
      <w:r w:rsidR="00676B2C">
        <w:rPr>
          <w:rFonts w:ascii="Times New Roman" w:hAnsi="Times New Roman" w:cs="Times New Roman"/>
          <w:i/>
          <w:iCs/>
          <w:sz w:val="20"/>
          <w:szCs w:val="20"/>
        </w:rPr>
        <w:t>,</w:t>
      </w:r>
      <w:r w:rsidR="00676B2C" w:rsidRPr="00676B2C">
        <w:rPr>
          <w:rFonts w:ascii="Times New Roman" w:hAnsi="Times New Roman" w:cs="Times New Roman"/>
          <w:i/>
          <w:iCs/>
          <w:sz w:val="20"/>
          <w:szCs w:val="20"/>
        </w:rPr>
        <w:t>2010</w:t>
      </w:r>
      <w:r w:rsidR="00676B2C">
        <w:rPr>
          <w:rFonts w:ascii="Times New Roman" w:hAnsi="Times New Roman" w:cs="Times New Roman"/>
          <w:i/>
          <w:iCs/>
          <w:sz w:val="20"/>
          <w:szCs w:val="20"/>
        </w:rPr>
        <w:t>)</w:t>
      </w:r>
    </w:p>
    <w:p w14:paraId="01276604" w14:textId="58C6F257" w:rsidR="00D7511A" w:rsidRPr="00FF7E71" w:rsidRDefault="00D7511A" w:rsidP="00FF7E71">
      <w:pPr>
        <w:spacing w:after="0" w:line="312" w:lineRule="auto"/>
        <w:jc w:val="both"/>
        <w:rPr>
          <w:rFonts w:ascii="Times New Roman" w:hAnsi="Times New Roman" w:cs="Times New Roman"/>
          <w:sz w:val="20"/>
          <w:szCs w:val="20"/>
        </w:rPr>
      </w:pPr>
    </w:p>
    <w:p w14:paraId="42868BAC" w14:textId="77777777" w:rsidR="00FF7E71" w:rsidRPr="00FF7E71" w:rsidRDefault="00FF7E71" w:rsidP="00FF7E71">
      <w:pPr>
        <w:spacing w:after="0" w:line="312" w:lineRule="auto"/>
        <w:jc w:val="both"/>
        <w:rPr>
          <w:rFonts w:ascii="Times New Roman" w:hAnsi="Times New Roman" w:cs="Times New Roman"/>
          <w:sz w:val="20"/>
          <w:szCs w:val="20"/>
        </w:rPr>
      </w:pPr>
    </w:p>
    <w:p w14:paraId="25C37022" w14:textId="77777777" w:rsidR="00FF7E71" w:rsidRDefault="00FF7E71">
      <w:pPr>
        <w:rPr>
          <w:rFonts w:ascii="Times New Roman" w:hAnsi="Times New Roman" w:cs="Times New Roman"/>
          <w:i/>
          <w:iCs/>
          <w:sz w:val="20"/>
          <w:szCs w:val="20"/>
        </w:rPr>
      </w:pPr>
      <w:r>
        <w:rPr>
          <w:rFonts w:ascii="Times New Roman" w:hAnsi="Times New Roman" w:cs="Times New Roman"/>
          <w:i/>
          <w:iCs/>
          <w:sz w:val="20"/>
          <w:szCs w:val="20"/>
        </w:rPr>
        <w:br w:type="page"/>
      </w:r>
    </w:p>
    <w:p w14:paraId="3EA9149C" w14:textId="566CC4B6"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i/>
          <w:iCs/>
          <w:sz w:val="20"/>
          <w:szCs w:val="20"/>
        </w:rPr>
        <w:lastRenderedPageBreak/>
        <w:t>Prior Approaches</w:t>
      </w:r>
    </w:p>
    <w:p w14:paraId="77887751" w14:textId="77777777" w:rsidR="00FF7E71" w:rsidRPr="00FF7E71" w:rsidRDefault="00FF7E71" w:rsidP="00FF7E71">
      <w:pPr>
        <w:spacing w:after="0" w:line="312" w:lineRule="auto"/>
        <w:jc w:val="both"/>
        <w:rPr>
          <w:rFonts w:ascii="Times New Roman" w:hAnsi="Times New Roman" w:cs="Times New Roman"/>
          <w:sz w:val="20"/>
          <w:szCs w:val="20"/>
        </w:rPr>
      </w:pPr>
    </w:p>
    <w:p w14:paraId="495645AD"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Prior studies conducted on this topic used empirical evidence to test the statistical significance of the relationship between CSR disclosures and CFP. These have minute variances. Some studies chose to regress listed firms at a point in time to determine if more disclosures in the year had a positive relationship with financial performance (</w:t>
      </w:r>
      <w:r w:rsidRPr="00FF7E71">
        <w:rPr>
          <w:rFonts w:ascii="Times New Roman" w:hAnsi="Times New Roman" w:cs="Times New Roman"/>
          <w:i/>
          <w:iCs/>
          <w:sz w:val="20"/>
          <w:szCs w:val="20"/>
        </w:rPr>
        <w:t>Kasbun et al., 2017; Aggarwal, 2013-a; Motwani and Pandya, 2016; Ching et al., 2017; Jones et al., 2007</w:t>
      </w:r>
      <w:r w:rsidRPr="00FF7E71">
        <w:rPr>
          <w:rFonts w:ascii="Times New Roman" w:hAnsi="Times New Roman" w:cs="Times New Roman"/>
          <w:sz w:val="20"/>
          <w:szCs w:val="20"/>
        </w:rPr>
        <w:t>). Others conducted a longitudinal study comparing companies’ performance across years (</w:t>
      </w:r>
      <w:r w:rsidRPr="00FF7E71">
        <w:rPr>
          <w:rFonts w:ascii="Times New Roman" w:hAnsi="Times New Roman" w:cs="Times New Roman"/>
          <w:i/>
          <w:iCs/>
          <w:sz w:val="20"/>
          <w:szCs w:val="20"/>
        </w:rPr>
        <w:t>Tsang, 1998; Wahyuningrum et al., 2021</w:t>
      </w:r>
      <w:r w:rsidRPr="00FF7E71">
        <w:rPr>
          <w:rFonts w:ascii="Times New Roman" w:hAnsi="Times New Roman" w:cs="Times New Roman"/>
          <w:sz w:val="20"/>
          <w:szCs w:val="20"/>
        </w:rPr>
        <w:t>). In longitudinal studies, the authors sought to examine if an improvement in CSR disclosures resulted in a similar improvement in CFP.</w:t>
      </w:r>
    </w:p>
    <w:p w14:paraId="0DBBE361" w14:textId="77777777" w:rsidR="00FF7E71" w:rsidRPr="00FF7E71" w:rsidRDefault="00FF7E71" w:rsidP="00FF7E71">
      <w:pPr>
        <w:spacing w:after="0" w:line="312" w:lineRule="auto"/>
        <w:jc w:val="both"/>
        <w:rPr>
          <w:rFonts w:ascii="Times New Roman" w:hAnsi="Times New Roman" w:cs="Times New Roman"/>
          <w:sz w:val="20"/>
          <w:szCs w:val="20"/>
        </w:rPr>
      </w:pPr>
    </w:p>
    <w:p w14:paraId="7C0EB86E"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 factors used to determine sustainability disclosures and performance were varied. </w:t>
      </w:r>
      <w:r w:rsidRPr="00FF7E71">
        <w:rPr>
          <w:rFonts w:ascii="Times New Roman" w:hAnsi="Times New Roman" w:cs="Times New Roman"/>
          <w:i/>
          <w:iCs/>
          <w:sz w:val="20"/>
          <w:szCs w:val="20"/>
        </w:rPr>
        <w:t>Loh et al. (2017)</w:t>
      </w:r>
      <w:r w:rsidRPr="00FF7E71">
        <w:rPr>
          <w:rFonts w:ascii="Times New Roman" w:hAnsi="Times New Roman" w:cs="Times New Roman"/>
          <w:sz w:val="20"/>
          <w:szCs w:val="20"/>
        </w:rPr>
        <w:t> used a measurement scheme developed by the ASEAN CSR Network, which proposes 23 criteria in the scheme over governance, economic, environmental, and social indicators. </w:t>
      </w:r>
      <w:r w:rsidRPr="00FF7E71">
        <w:rPr>
          <w:rFonts w:ascii="Times New Roman" w:hAnsi="Times New Roman" w:cs="Times New Roman"/>
          <w:i/>
          <w:iCs/>
          <w:sz w:val="20"/>
          <w:szCs w:val="20"/>
        </w:rPr>
        <w:t>Wahyuningrum et al. (2021)</w:t>
      </w:r>
      <w:r w:rsidRPr="00FF7E71">
        <w:rPr>
          <w:rFonts w:ascii="Times New Roman" w:hAnsi="Times New Roman" w:cs="Times New Roman"/>
          <w:sz w:val="20"/>
          <w:szCs w:val="20"/>
        </w:rPr>
        <w:t> used an abridged form of content analysis to assign scores based on the number of disclosures – the number of sentences number of pages. </w:t>
      </w:r>
      <w:r w:rsidRPr="00FF7E71">
        <w:rPr>
          <w:rFonts w:ascii="Times New Roman" w:hAnsi="Times New Roman" w:cs="Times New Roman"/>
          <w:i/>
          <w:iCs/>
          <w:sz w:val="20"/>
          <w:szCs w:val="20"/>
        </w:rPr>
        <w:t>Kasbun et al. (2016)</w:t>
      </w:r>
      <w:r w:rsidRPr="00FF7E71">
        <w:rPr>
          <w:rFonts w:ascii="Times New Roman" w:hAnsi="Times New Roman" w:cs="Times New Roman"/>
          <w:sz w:val="20"/>
          <w:szCs w:val="20"/>
        </w:rPr>
        <w:t> similarly used the number of sentences to indicate the quantity of activity reported. </w:t>
      </w:r>
      <w:r w:rsidRPr="00FF7E71">
        <w:rPr>
          <w:rFonts w:ascii="Times New Roman" w:hAnsi="Times New Roman" w:cs="Times New Roman"/>
          <w:i/>
          <w:iCs/>
          <w:sz w:val="20"/>
          <w:szCs w:val="20"/>
        </w:rPr>
        <w:t>Aggrawal (2013-a)</w:t>
      </w:r>
      <w:r w:rsidRPr="00FF7E71">
        <w:rPr>
          <w:rFonts w:ascii="Times New Roman" w:hAnsi="Times New Roman" w:cs="Times New Roman"/>
          <w:sz w:val="20"/>
          <w:szCs w:val="20"/>
        </w:rPr>
        <w:t> used scores extracted from private databases provided by Bloomberg and Thomson Reuters Eikon. The majority of these metrics can often be superficial and do not actively examine the text of such CSR disclosures, which is proposed in this study.</w:t>
      </w:r>
    </w:p>
    <w:p w14:paraId="5BC65D01" w14:textId="77777777" w:rsidR="00FF7E71" w:rsidRPr="00FF7E71" w:rsidRDefault="00FF7E71" w:rsidP="00FF7E71">
      <w:pPr>
        <w:spacing w:after="0" w:line="312" w:lineRule="auto"/>
        <w:jc w:val="both"/>
        <w:rPr>
          <w:rFonts w:ascii="Times New Roman" w:hAnsi="Times New Roman" w:cs="Times New Roman"/>
          <w:sz w:val="20"/>
          <w:szCs w:val="20"/>
        </w:rPr>
      </w:pPr>
    </w:p>
    <w:p w14:paraId="63EAD1BE"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Financial metrics used were based on generally-available information. For example, figures were retrieved from audited financial reports of the same year. Standard metrics used to assess performance were the Return on Assets (ROA), Return on Equity (ROE), Profit before Tax (PBT), employed in several studies (</w:t>
      </w:r>
      <w:r w:rsidRPr="00FF7E71">
        <w:rPr>
          <w:rFonts w:ascii="Times New Roman" w:hAnsi="Times New Roman" w:cs="Times New Roman"/>
          <w:i/>
          <w:iCs/>
          <w:sz w:val="20"/>
          <w:szCs w:val="20"/>
        </w:rPr>
        <w:t>Aggrawal, 2013-a; Ching et al., 2017; Kasbun et al., 2016)</w:t>
      </w:r>
      <w:r w:rsidRPr="00FF7E71">
        <w:rPr>
          <w:rFonts w:ascii="Times New Roman" w:hAnsi="Times New Roman" w:cs="Times New Roman"/>
          <w:sz w:val="20"/>
          <w:szCs w:val="20"/>
        </w:rPr>
        <w:t>. </w:t>
      </w:r>
      <w:r w:rsidRPr="00FF7E71">
        <w:rPr>
          <w:rFonts w:ascii="Times New Roman" w:hAnsi="Times New Roman" w:cs="Times New Roman"/>
          <w:i/>
          <w:iCs/>
          <w:sz w:val="20"/>
          <w:szCs w:val="20"/>
        </w:rPr>
        <w:t>Jones et al., 2007</w:t>
      </w:r>
      <w:r w:rsidRPr="00FF7E71">
        <w:rPr>
          <w:rFonts w:ascii="Times New Roman" w:hAnsi="Times New Roman" w:cs="Times New Roman"/>
          <w:sz w:val="20"/>
          <w:szCs w:val="20"/>
        </w:rPr>
        <w:t> sought to examine the effect on abnormal stock returns.</w:t>
      </w:r>
    </w:p>
    <w:p w14:paraId="427D52D2" w14:textId="77777777" w:rsidR="00FF7E71" w:rsidRPr="00FF7E71" w:rsidRDefault="00FF7E71" w:rsidP="00FF7E71">
      <w:pPr>
        <w:spacing w:after="0" w:line="312" w:lineRule="auto"/>
        <w:jc w:val="both"/>
        <w:rPr>
          <w:rFonts w:ascii="Times New Roman" w:hAnsi="Times New Roman" w:cs="Times New Roman"/>
          <w:sz w:val="20"/>
          <w:szCs w:val="20"/>
        </w:rPr>
      </w:pPr>
    </w:p>
    <w:p w14:paraId="5CDF123C"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Studies examined used regression analysis in testing the statistical significance. </w:t>
      </w:r>
      <w:r w:rsidRPr="00FF7E71">
        <w:rPr>
          <w:rFonts w:ascii="Times New Roman" w:hAnsi="Times New Roman" w:cs="Times New Roman"/>
          <w:i/>
          <w:iCs/>
          <w:sz w:val="20"/>
          <w:szCs w:val="20"/>
        </w:rPr>
        <w:t>Loh et al. (2017)</w:t>
      </w:r>
      <w:r w:rsidRPr="00FF7E71">
        <w:rPr>
          <w:rFonts w:ascii="Times New Roman" w:hAnsi="Times New Roman" w:cs="Times New Roman"/>
          <w:sz w:val="20"/>
          <w:szCs w:val="20"/>
        </w:rPr>
        <w:t> used the Ohlson model (</w:t>
      </w:r>
      <w:r w:rsidRPr="00FF7E71">
        <w:rPr>
          <w:rFonts w:ascii="Times New Roman" w:hAnsi="Times New Roman" w:cs="Times New Roman"/>
          <w:i/>
          <w:iCs/>
          <w:sz w:val="20"/>
          <w:szCs w:val="20"/>
        </w:rPr>
        <w:t>Ohlson, 1995)</w:t>
      </w:r>
      <w:r w:rsidRPr="00FF7E71">
        <w:rPr>
          <w:rFonts w:ascii="Times New Roman" w:hAnsi="Times New Roman" w:cs="Times New Roman"/>
          <w:sz w:val="20"/>
          <w:szCs w:val="20"/>
        </w:rPr>
        <w:t> as a baseline model and added proposed sustainability indices to determine the improved significance of the models to determine the explanatory effect of sustainability variables included. Several others opted to use each financial indicator as a dependent variable iteratively and sustainability factors as an independent variable. Firm size, a function of the total assets, was also considered in the model.</w:t>
      </w:r>
    </w:p>
    <w:p w14:paraId="74CB80BA" w14:textId="77777777" w:rsidR="00FF7E71" w:rsidRPr="00FF7E71" w:rsidRDefault="00FF7E71" w:rsidP="00FF7E71">
      <w:pPr>
        <w:spacing w:after="0" w:line="312" w:lineRule="auto"/>
        <w:jc w:val="both"/>
        <w:rPr>
          <w:rFonts w:ascii="Times New Roman" w:hAnsi="Times New Roman" w:cs="Times New Roman"/>
          <w:sz w:val="20"/>
          <w:szCs w:val="20"/>
        </w:rPr>
      </w:pPr>
    </w:p>
    <w:p w14:paraId="3E166638" w14:textId="23B12BFA"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Some studies sought to distinguish results by industry and other characteristics. </w:t>
      </w:r>
      <w:r w:rsidRPr="00676B2C">
        <w:rPr>
          <w:rFonts w:ascii="Times New Roman" w:hAnsi="Times New Roman" w:cs="Times New Roman"/>
          <w:sz w:val="20"/>
          <w:szCs w:val="20"/>
        </w:rPr>
        <w:t xml:space="preserve">For example, </w:t>
      </w:r>
      <w:r w:rsidRPr="00FF7E71">
        <w:rPr>
          <w:rFonts w:ascii="Times New Roman" w:hAnsi="Times New Roman" w:cs="Times New Roman"/>
          <w:i/>
          <w:iCs/>
          <w:sz w:val="20"/>
          <w:szCs w:val="20"/>
        </w:rPr>
        <w:t>Ching et al. (2017) </w:t>
      </w:r>
      <w:r w:rsidRPr="00FF7E71">
        <w:rPr>
          <w:rFonts w:ascii="Times New Roman" w:hAnsi="Times New Roman" w:cs="Times New Roman"/>
          <w:sz w:val="20"/>
          <w:szCs w:val="20"/>
        </w:rPr>
        <w:t>looked only at companies that were determined to have the best level of disclosure – for example, companies classified as Application Level “A” under the GRI. </w:t>
      </w:r>
      <w:r w:rsidRPr="00FF7E71">
        <w:rPr>
          <w:rFonts w:ascii="Times New Roman" w:hAnsi="Times New Roman" w:cs="Times New Roman"/>
          <w:i/>
          <w:iCs/>
          <w:sz w:val="20"/>
          <w:szCs w:val="20"/>
        </w:rPr>
        <w:t>Loh et al. (2017) </w:t>
      </w:r>
      <w:r w:rsidRPr="00FF7E71">
        <w:rPr>
          <w:rFonts w:ascii="Times New Roman" w:hAnsi="Times New Roman" w:cs="Times New Roman"/>
          <w:sz w:val="20"/>
          <w:szCs w:val="20"/>
        </w:rPr>
        <w:t xml:space="preserve">differentiated the results by industry and the status. They considered whether being a Government-Linked Company or a family-owned business should have significant differences. Distinguishing companies with these characteristics </w:t>
      </w:r>
      <w:r w:rsidR="00676B2C">
        <w:rPr>
          <w:rFonts w:ascii="Times New Roman" w:hAnsi="Times New Roman" w:cs="Times New Roman"/>
          <w:sz w:val="20"/>
          <w:szCs w:val="20"/>
        </w:rPr>
        <w:t>is another potential approach.</w:t>
      </w:r>
      <w:r w:rsidRPr="00FF7E71">
        <w:rPr>
          <w:rFonts w:ascii="Times New Roman" w:hAnsi="Times New Roman" w:cs="Times New Roman"/>
          <w:sz w:val="20"/>
          <w:szCs w:val="20"/>
        </w:rPr>
        <w:t xml:space="preserve"> Examining the distinction between different industries is worth considering, given that the TCFD’s recommendations have only singled out several industries for disclosures.</w:t>
      </w:r>
    </w:p>
    <w:p w14:paraId="7C5C358D" w14:textId="77777777" w:rsidR="00FF7E71" w:rsidRPr="00FF7E71" w:rsidRDefault="00FF7E71" w:rsidP="00FF7E71">
      <w:pPr>
        <w:spacing w:after="0" w:line="312" w:lineRule="auto"/>
        <w:jc w:val="both"/>
        <w:rPr>
          <w:rFonts w:ascii="Times New Roman" w:hAnsi="Times New Roman" w:cs="Times New Roman"/>
          <w:sz w:val="20"/>
          <w:szCs w:val="20"/>
        </w:rPr>
      </w:pPr>
    </w:p>
    <w:p w14:paraId="787F5FCD"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Several elements used by prior studies in a Singapore context will be retained to provide a basis for comparison. The choice of financial metrics will be one of them. This study, however, will seek to propose a robust method of examining sustainability disclosures by examining the text of the sustainability reports.</w:t>
      </w:r>
    </w:p>
    <w:p w14:paraId="498B25CC" w14:textId="77777777" w:rsidR="00FF7E71" w:rsidRPr="00FF7E71" w:rsidRDefault="00FF7E71" w:rsidP="00FF7E71">
      <w:pPr>
        <w:spacing w:after="0" w:line="312" w:lineRule="auto"/>
        <w:jc w:val="both"/>
        <w:rPr>
          <w:rFonts w:ascii="Times New Roman" w:hAnsi="Times New Roman" w:cs="Times New Roman"/>
          <w:sz w:val="20"/>
          <w:szCs w:val="20"/>
        </w:rPr>
      </w:pPr>
    </w:p>
    <w:p w14:paraId="3EE05A38" w14:textId="77777777" w:rsidR="00FF7E71" w:rsidRDefault="00FF7E71">
      <w:pPr>
        <w:rPr>
          <w:rFonts w:ascii="Times New Roman" w:hAnsi="Times New Roman" w:cs="Times New Roman"/>
          <w:b/>
          <w:bCs/>
          <w:sz w:val="20"/>
          <w:szCs w:val="20"/>
        </w:rPr>
      </w:pPr>
      <w:r>
        <w:rPr>
          <w:rFonts w:ascii="Times New Roman" w:hAnsi="Times New Roman" w:cs="Times New Roman"/>
          <w:b/>
          <w:bCs/>
          <w:sz w:val="20"/>
          <w:szCs w:val="20"/>
        </w:rPr>
        <w:br w:type="page"/>
      </w:r>
    </w:p>
    <w:p w14:paraId="7A35D35B" w14:textId="21E3E54C"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b/>
          <w:bCs/>
          <w:sz w:val="20"/>
          <w:szCs w:val="20"/>
        </w:rPr>
        <w:lastRenderedPageBreak/>
        <w:t>Methodology</w:t>
      </w:r>
    </w:p>
    <w:p w14:paraId="7DFA3880" w14:textId="77777777" w:rsidR="00FF7E71" w:rsidRPr="00FF7E71" w:rsidRDefault="00FF7E71" w:rsidP="00FF7E71">
      <w:pPr>
        <w:spacing w:after="0" w:line="312" w:lineRule="auto"/>
        <w:jc w:val="both"/>
        <w:rPr>
          <w:rFonts w:ascii="Times New Roman" w:hAnsi="Times New Roman" w:cs="Times New Roman"/>
          <w:sz w:val="20"/>
          <w:szCs w:val="20"/>
        </w:rPr>
      </w:pPr>
    </w:p>
    <w:p w14:paraId="03567CD1" w14:textId="50EA9C1F"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 xml:space="preserve">The proposed study is a longitudinal </w:t>
      </w:r>
      <w:r w:rsidR="00676B2C">
        <w:rPr>
          <w:rFonts w:ascii="Times New Roman" w:hAnsi="Times New Roman" w:cs="Times New Roman"/>
          <w:sz w:val="20"/>
          <w:szCs w:val="20"/>
        </w:rPr>
        <w:t>analysis of</w:t>
      </w:r>
      <w:r w:rsidRPr="00FF7E71">
        <w:rPr>
          <w:rFonts w:ascii="Times New Roman" w:hAnsi="Times New Roman" w:cs="Times New Roman"/>
          <w:sz w:val="20"/>
          <w:szCs w:val="20"/>
        </w:rPr>
        <w:t xml:space="preserve"> changes in </w:t>
      </w:r>
      <w:r w:rsidR="00676B2C">
        <w:rPr>
          <w:rFonts w:ascii="Times New Roman" w:hAnsi="Times New Roman" w:cs="Times New Roman"/>
          <w:sz w:val="20"/>
          <w:szCs w:val="20"/>
        </w:rPr>
        <w:t xml:space="preserve">companies’ </w:t>
      </w:r>
      <w:r w:rsidRPr="00FF7E71">
        <w:rPr>
          <w:rFonts w:ascii="Times New Roman" w:hAnsi="Times New Roman" w:cs="Times New Roman"/>
          <w:sz w:val="20"/>
          <w:szCs w:val="20"/>
        </w:rPr>
        <w:t>CSR disclosures for financial periods ending in 2016 to 2021</w:t>
      </w:r>
      <w:r w:rsidR="00676B2C">
        <w:rPr>
          <w:rFonts w:ascii="Times New Roman" w:hAnsi="Times New Roman" w:cs="Times New Roman"/>
          <w:sz w:val="20"/>
          <w:szCs w:val="20"/>
        </w:rPr>
        <w:t xml:space="preserve"> and their relation with financial performance.</w:t>
      </w:r>
    </w:p>
    <w:p w14:paraId="27FF0A36" w14:textId="77777777" w:rsidR="00FF7E71" w:rsidRPr="00FF7E71" w:rsidRDefault="00FF7E71" w:rsidP="00FF7E71">
      <w:pPr>
        <w:spacing w:after="0" w:line="312" w:lineRule="auto"/>
        <w:jc w:val="both"/>
        <w:rPr>
          <w:rFonts w:ascii="Times New Roman" w:hAnsi="Times New Roman" w:cs="Times New Roman"/>
          <w:sz w:val="20"/>
          <w:szCs w:val="20"/>
        </w:rPr>
      </w:pPr>
    </w:p>
    <w:p w14:paraId="7E377A80" w14:textId="7E7F919E" w:rsidR="00FF7E71" w:rsidRDefault="00FF7E71" w:rsidP="00FF7E71">
      <w:pPr>
        <w:spacing w:after="0" w:line="312" w:lineRule="auto"/>
        <w:jc w:val="both"/>
        <w:rPr>
          <w:rFonts w:ascii="Times New Roman" w:hAnsi="Times New Roman" w:cs="Times New Roman"/>
          <w:i/>
          <w:iCs/>
          <w:sz w:val="20"/>
          <w:szCs w:val="20"/>
        </w:rPr>
      </w:pPr>
      <w:r w:rsidRPr="00FF7E71">
        <w:rPr>
          <w:rFonts w:ascii="Times New Roman" w:hAnsi="Times New Roman" w:cs="Times New Roman"/>
          <w:i/>
          <w:iCs/>
          <w:sz w:val="20"/>
          <w:szCs w:val="20"/>
        </w:rPr>
        <w:t>Data Used</w:t>
      </w:r>
    </w:p>
    <w:p w14:paraId="7F025FB1" w14:textId="77777777" w:rsidR="00536438" w:rsidRPr="00FF7E71" w:rsidRDefault="00536438" w:rsidP="00FF7E71">
      <w:pPr>
        <w:spacing w:after="0" w:line="312" w:lineRule="auto"/>
        <w:jc w:val="both"/>
        <w:rPr>
          <w:rFonts w:ascii="Times New Roman" w:hAnsi="Times New Roman" w:cs="Times New Roman"/>
          <w:sz w:val="20"/>
          <w:szCs w:val="20"/>
        </w:rPr>
      </w:pPr>
    </w:p>
    <w:p w14:paraId="31638C3E"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Sustainability reports and annual reports will be retrieved from the SGX website. Topical modelling (</w:t>
      </w:r>
      <w:r w:rsidRPr="00FF7E71">
        <w:rPr>
          <w:rFonts w:ascii="Times New Roman" w:hAnsi="Times New Roman" w:cs="Times New Roman"/>
          <w:i/>
          <w:iCs/>
          <w:sz w:val="20"/>
          <w:szCs w:val="20"/>
        </w:rPr>
        <w:t>Rehurek and Sojka, 2011</w:t>
      </w:r>
      <w:r w:rsidRPr="00FF7E71">
        <w:rPr>
          <w:rFonts w:ascii="Times New Roman" w:hAnsi="Times New Roman" w:cs="Times New Roman"/>
          <w:sz w:val="20"/>
          <w:szCs w:val="20"/>
        </w:rPr>
        <w:t>) and sentiment analysis </w:t>
      </w:r>
      <w:r w:rsidRPr="00FF7E71">
        <w:rPr>
          <w:rFonts w:ascii="Times New Roman" w:hAnsi="Times New Roman" w:cs="Times New Roman"/>
          <w:i/>
          <w:iCs/>
          <w:sz w:val="20"/>
          <w:szCs w:val="20"/>
        </w:rPr>
        <w:t>(Pang et al., 2002)</w:t>
      </w:r>
      <w:r w:rsidRPr="00FF7E71">
        <w:rPr>
          <w:rFonts w:ascii="Times New Roman" w:hAnsi="Times New Roman" w:cs="Times New Roman"/>
          <w:sz w:val="20"/>
          <w:szCs w:val="20"/>
        </w:rPr>
        <w:t> will be used to analyse the text in the sustainability reports. Financial performances indicators will be extracted from information available from audited financial statements within the annual reports.</w:t>
      </w:r>
    </w:p>
    <w:p w14:paraId="5307F738" w14:textId="77777777" w:rsidR="00FF7E71" w:rsidRPr="00FF7E71" w:rsidRDefault="00FF7E71" w:rsidP="00FF7E71">
      <w:pPr>
        <w:spacing w:after="0" w:line="312" w:lineRule="auto"/>
        <w:jc w:val="both"/>
        <w:rPr>
          <w:rFonts w:ascii="Times New Roman" w:hAnsi="Times New Roman" w:cs="Times New Roman"/>
          <w:sz w:val="20"/>
          <w:szCs w:val="20"/>
        </w:rPr>
      </w:pPr>
    </w:p>
    <w:p w14:paraId="73A4113B"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i/>
          <w:iCs/>
          <w:sz w:val="20"/>
          <w:szCs w:val="20"/>
        </w:rPr>
        <w:t>Models</w:t>
      </w:r>
    </w:p>
    <w:p w14:paraId="7836083B" w14:textId="77777777" w:rsidR="00FF7E71" w:rsidRPr="00FF7E71" w:rsidRDefault="00FF7E71" w:rsidP="00FF7E71">
      <w:pPr>
        <w:spacing w:after="0" w:line="312" w:lineRule="auto"/>
        <w:jc w:val="both"/>
        <w:rPr>
          <w:rFonts w:ascii="Times New Roman" w:hAnsi="Times New Roman" w:cs="Times New Roman"/>
          <w:sz w:val="20"/>
          <w:szCs w:val="20"/>
        </w:rPr>
      </w:pPr>
    </w:p>
    <w:p w14:paraId="4BE6ACC1"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In topical modelling, text within the sustainability reports will be analysed by clustering to determine the most critical topics. A widely-adopted framework, the GRI, sustainability reporting typically encompasses three material topics – economic topics, environmental, and social. Governance is also often associated with sustainability reporting. A topical analysis provides insights on the actual topics disclosed and if there are any trends in a local specific context in Singapore. With the topics identified, further processing can be performed to derive independent variables, such as the proportion of disclosures, the extent of disclosures, and the use of specific words.</w:t>
      </w:r>
    </w:p>
    <w:p w14:paraId="6B7E428D" w14:textId="77777777" w:rsidR="00FF7E71" w:rsidRPr="00FF7E71" w:rsidRDefault="00FF7E71" w:rsidP="00FF7E71">
      <w:pPr>
        <w:spacing w:after="0" w:line="312" w:lineRule="auto"/>
        <w:jc w:val="both"/>
        <w:rPr>
          <w:rFonts w:ascii="Times New Roman" w:hAnsi="Times New Roman" w:cs="Times New Roman"/>
          <w:sz w:val="20"/>
          <w:szCs w:val="20"/>
        </w:rPr>
      </w:pPr>
    </w:p>
    <w:p w14:paraId="65CBFE47" w14:textId="58821921"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The same corpus of text within the sustainability reports will be analysed for sentiment analysis to derive overall “sentiment” scores. A starting point for such analysis could be using the Valence Aware Dictionary, and Sentiment Reasoner (VADER) proposed in </w:t>
      </w:r>
      <w:r w:rsidRPr="00FF7E71">
        <w:rPr>
          <w:rFonts w:ascii="Times New Roman" w:hAnsi="Times New Roman" w:cs="Times New Roman"/>
          <w:i/>
          <w:iCs/>
          <w:sz w:val="20"/>
          <w:szCs w:val="20"/>
        </w:rPr>
        <w:t>Bird et al. (2009)</w:t>
      </w:r>
      <w:r w:rsidR="008B75A0">
        <w:rPr>
          <w:rFonts w:ascii="Times New Roman" w:hAnsi="Times New Roman" w:cs="Times New Roman"/>
          <w:sz w:val="20"/>
          <w:szCs w:val="20"/>
        </w:rPr>
        <w:t>. O</w:t>
      </w:r>
      <w:r w:rsidRPr="00FF7E71">
        <w:rPr>
          <w:rFonts w:ascii="Times New Roman" w:hAnsi="Times New Roman" w:cs="Times New Roman"/>
          <w:sz w:val="20"/>
          <w:szCs w:val="20"/>
        </w:rPr>
        <w:t xml:space="preserve">ther dictionaries can </w:t>
      </w:r>
      <w:r w:rsidR="008B75A0">
        <w:rPr>
          <w:rFonts w:ascii="Times New Roman" w:hAnsi="Times New Roman" w:cs="Times New Roman"/>
          <w:sz w:val="20"/>
          <w:szCs w:val="20"/>
        </w:rPr>
        <w:t>also be explored</w:t>
      </w:r>
      <w:r w:rsidRPr="00FF7E71">
        <w:rPr>
          <w:rFonts w:ascii="Times New Roman" w:hAnsi="Times New Roman" w:cs="Times New Roman"/>
          <w:sz w:val="20"/>
          <w:szCs w:val="20"/>
        </w:rPr>
        <w:t>. These scores would result in an input variable.</w:t>
      </w:r>
    </w:p>
    <w:p w14:paraId="5DE6C8BA" w14:textId="77777777" w:rsidR="00FF7E71" w:rsidRPr="00FF7E71" w:rsidRDefault="00FF7E71" w:rsidP="00FF7E71">
      <w:pPr>
        <w:spacing w:after="0" w:line="312" w:lineRule="auto"/>
        <w:jc w:val="both"/>
        <w:rPr>
          <w:rFonts w:ascii="Times New Roman" w:hAnsi="Times New Roman" w:cs="Times New Roman"/>
          <w:sz w:val="20"/>
          <w:szCs w:val="20"/>
        </w:rPr>
      </w:pPr>
    </w:p>
    <w:p w14:paraId="79AF66BA" w14:textId="4A363D43"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A multivariate regression will be performed to test the significance of the model, similar to other studies.</w:t>
      </w:r>
    </w:p>
    <w:p w14:paraId="5904E1A2" w14:textId="77777777" w:rsidR="00FF7E71" w:rsidRPr="00FF7E71" w:rsidRDefault="00FF7E71" w:rsidP="00FF7E71">
      <w:pPr>
        <w:spacing w:after="0" w:line="312" w:lineRule="auto"/>
        <w:jc w:val="both"/>
        <w:rPr>
          <w:rFonts w:ascii="Times New Roman" w:hAnsi="Times New Roman" w:cs="Times New Roman"/>
          <w:sz w:val="20"/>
          <w:szCs w:val="20"/>
        </w:rPr>
      </w:pPr>
    </w:p>
    <w:p w14:paraId="2B50EBA1"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b/>
          <w:bCs/>
          <w:sz w:val="20"/>
          <w:szCs w:val="20"/>
        </w:rPr>
        <w:t>Potential Implications</w:t>
      </w:r>
    </w:p>
    <w:p w14:paraId="5A6C48EB" w14:textId="77777777" w:rsidR="00FF7E71" w:rsidRPr="00FF7E71" w:rsidRDefault="00FF7E71" w:rsidP="00FF7E71">
      <w:pPr>
        <w:spacing w:after="0" w:line="312" w:lineRule="auto"/>
        <w:jc w:val="both"/>
        <w:rPr>
          <w:rFonts w:ascii="Times New Roman" w:hAnsi="Times New Roman" w:cs="Times New Roman"/>
          <w:sz w:val="20"/>
          <w:szCs w:val="20"/>
        </w:rPr>
      </w:pPr>
    </w:p>
    <w:p w14:paraId="07363983" w14:textId="47372610"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This study is exploratory. It seeks to determine if using Natural Language Processing will result in a method for better explaining the relationship between CSR disclosures and CFP. If the results are significant, the dual-pronged approach of topic modelling and sentiment analysis can be adopted for prospective studies</w:t>
      </w:r>
      <w:r w:rsidR="00536438">
        <w:rPr>
          <w:rFonts w:ascii="Times New Roman" w:hAnsi="Times New Roman" w:cs="Times New Roman"/>
          <w:sz w:val="20"/>
          <w:szCs w:val="20"/>
        </w:rPr>
        <w:t>.</w:t>
      </w:r>
    </w:p>
    <w:p w14:paraId="46491DC6" w14:textId="77777777" w:rsidR="00FF7E71" w:rsidRPr="00FF7E71" w:rsidRDefault="00FF7E71" w:rsidP="00FF7E71">
      <w:pPr>
        <w:spacing w:after="0" w:line="312" w:lineRule="auto"/>
        <w:jc w:val="both"/>
        <w:rPr>
          <w:rFonts w:ascii="Times New Roman" w:hAnsi="Times New Roman" w:cs="Times New Roman"/>
          <w:sz w:val="20"/>
          <w:szCs w:val="20"/>
        </w:rPr>
      </w:pPr>
    </w:p>
    <w:p w14:paraId="7E07FDD5" w14:textId="77777777" w:rsidR="00FF7E71" w:rsidRPr="00FF7E71" w:rsidRDefault="00FF7E7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It is expected that there will be topics that present a more positive relationship. This could be of interest to sustainability communications professionals and the company’s management. Categories of CSR impact which evidence a more positive relationship may be of interest to these stakeholders. Companies can employ this information to increase the number of initiatives and perform more disclosures to boost their financial performance. These boost financial performance and other objectives of the triple bottom line concurrently.</w:t>
      </w:r>
    </w:p>
    <w:p w14:paraId="13A1CA78" w14:textId="77777777" w:rsidR="00FF7E71" w:rsidRPr="00FF7E71" w:rsidRDefault="00FF7E71" w:rsidP="00FF7E71">
      <w:pPr>
        <w:spacing w:after="0" w:line="312" w:lineRule="auto"/>
        <w:jc w:val="both"/>
        <w:rPr>
          <w:rFonts w:ascii="Times New Roman" w:hAnsi="Times New Roman" w:cs="Times New Roman"/>
          <w:sz w:val="20"/>
          <w:szCs w:val="20"/>
        </w:rPr>
      </w:pPr>
    </w:p>
    <w:p w14:paraId="312E624D" w14:textId="2D0A9A92" w:rsidR="00536438" w:rsidRDefault="00FF7E71" w:rsidP="00676B2C">
      <w:pPr>
        <w:spacing w:after="0" w:line="312" w:lineRule="auto"/>
        <w:jc w:val="both"/>
        <w:rPr>
          <w:rFonts w:ascii="Times New Roman" w:hAnsi="Times New Roman" w:cs="Times New Roman"/>
          <w:b/>
          <w:bCs/>
          <w:sz w:val="20"/>
          <w:szCs w:val="20"/>
        </w:rPr>
      </w:pPr>
      <w:r w:rsidRPr="00FF7E71">
        <w:rPr>
          <w:rFonts w:ascii="Times New Roman" w:hAnsi="Times New Roman" w:cs="Times New Roman"/>
          <w:sz w:val="20"/>
          <w:szCs w:val="20"/>
        </w:rPr>
        <w:t>It would also be helpful to take stock of the impact of the change in SGX’s regulations. For example, the Exchange’s move to make climate reporting mandatory for TCFD-identified industries is yet another milestone in developing Singapore’s sustainability reporting requirements. As Singapore strives to continue to present itself as a responsible member of the global community on green-related issues, sustainability disclosures are an essential component of this strategy. Understanding and assessing the effects would encourage but also inform further initiatives.</w:t>
      </w:r>
      <w:r w:rsidR="00536438">
        <w:rPr>
          <w:rFonts w:ascii="Times New Roman" w:hAnsi="Times New Roman" w:cs="Times New Roman"/>
          <w:b/>
          <w:bCs/>
          <w:sz w:val="20"/>
          <w:szCs w:val="20"/>
        </w:rPr>
        <w:br w:type="page"/>
      </w:r>
    </w:p>
    <w:p w14:paraId="67699181" w14:textId="191E0EE7" w:rsidR="00A84012" w:rsidRPr="00FF7E71" w:rsidRDefault="00A84012" w:rsidP="00FF7E71">
      <w:pPr>
        <w:spacing w:after="0" w:line="312" w:lineRule="auto"/>
        <w:jc w:val="both"/>
        <w:rPr>
          <w:rFonts w:ascii="Times New Roman" w:hAnsi="Times New Roman" w:cs="Times New Roman"/>
          <w:b/>
          <w:bCs/>
          <w:sz w:val="20"/>
          <w:szCs w:val="20"/>
        </w:rPr>
      </w:pPr>
      <w:r w:rsidRPr="00FF7E71">
        <w:rPr>
          <w:rFonts w:ascii="Times New Roman" w:hAnsi="Times New Roman" w:cs="Times New Roman"/>
          <w:b/>
          <w:bCs/>
          <w:sz w:val="20"/>
          <w:szCs w:val="20"/>
        </w:rPr>
        <w:lastRenderedPageBreak/>
        <w:t>Bibliography</w:t>
      </w:r>
    </w:p>
    <w:p w14:paraId="71AF00FE" w14:textId="0065FACF" w:rsidR="002F4222" w:rsidRPr="00FF7E71" w:rsidRDefault="002F4222" w:rsidP="00FF7E71">
      <w:pPr>
        <w:spacing w:after="0" w:line="312" w:lineRule="auto"/>
        <w:jc w:val="both"/>
        <w:rPr>
          <w:rFonts w:ascii="Times New Roman" w:hAnsi="Times New Roman" w:cs="Times New Roman"/>
          <w:sz w:val="20"/>
          <w:szCs w:val="20"/>
        </w:rPr>
      </w:pPr>
    </w:p>
    <w:p w14:paraId="63538847" w14:textId="27DA75BD" w:rsidR="006F1F10" w:rsidRPr="00FF7E71" w:rsidRDefault="006F1F1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Aggarwal, P. (2013</w:t>
      </w:r>
      <w:r w:rsidR="00D20B61" w:rsidRPr="00FF7E71">
        <w:rPr>
          <w:rFonts w:ascii="Times New Roman" w:hAnsi="Times New Roman" w:cs="Times New Roman"/>
          <w:sz w:val="20"/>
          <w:szCs w:val="20"/>
        </w:rPr>
        <w:t>a</w:t>
      </w:r>
      <w:r w:rsidRPr="00FF7E71">
        <w:rPr>
          <w:rFonts w:ascii="Times New Roman" w:hAnsi="Times New Roman" w:cs="Times New Roman"/>
          <w:sz w:val="20"/>
          <w:szCs w:val="20"/>
        </w:rPr>
        <w:t>). Impact of sustainability performance of company on its financial performance: A study of listed Indian companies. Global Journal of Management and Business Research (C: Finance) Volume, 13.</w:t>
      </w:r>
    </w:p>
    <w:p w14:paraId="6E4C4E55" w14:textId="77777777" w:rsidR="006F1F10" w:rsidRPr="00FF7E71" w:rsidRDefault="006F1F10" w:rsidP="00FF7E71">
      <w:pPr>
        <w:spacing w:after="0" w:line="312" w:lineRule="auto"/>
        <w:jc w:val="both"/>
        <w:rPr>
          <w:rFonts w:ascii="Times New Roman" w:hAnsi="Times New Roman" w:cs="Times New Roman"/>
          <w:sz w:val="20"/>
          <w:szCs w:val="20"/>
        </w:rPr>
      </w:pPr>
    </w:p>
    <w:p w14:paraId="20FF41DD" w14:textId="4DE920E6" w:rsidR="000A63F9" w:rsidRPr="00FF7E71" w:rsidRDefault="002F4222"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Aggarwal, P. (2013</w:t>
      </w:r>
      <w:r w:rsidR="00D20B61" w:rsidRPr="00FF7E71">
        <w:rPr>
          <w:rFonts w:ascii="Times New Roman" w:hAnsi="Times New Roman" w:cs="Times New Roman"/>
          <w:sz w:val="20"/>
          <w:szCs w:val="20"/>
        </w:rPr>
        <w:t>b</w:t>
      </w:r>
      <w:r w:rsidRPr="00FF7E71">
        <w:rPr>
          <w:rFonts w:ascii="Times New Roman" w:hAnsi="Times New Roman" w:cs="Times New Roman"/>
          <w:sz w:val="20"/>
          <w:szCs w:val="20"/>
        </w:rPr>
        <w:t>). Sustainability reporting and its impact on corporate financial performance: A literature review. Indian Journal of Commerce and Management Studies, 4(3), 51</w:t>
      </w:r>
    </w:p>
    <w:p w14:paraId="03A0045B" w14:textId="2CD3C0A5" w:rsidR="0052192A" w:rsidRPr="00FF7E71" w:rsidRDefault="0052192A" w:rsidP="00FF7E71">
      <w:pPr>
        <w:spacing w:after="0" w:line="312" w:lineRule="auto"/>
        <w:jc w:val="both"/>
        <w:rPr>
          <w:rFonts w:ascii="Times New Roman" w:hAnsi="Times New Roman" w:cs="Times New Roman"/>
          <w:sz w:val="20"/>
          <w:szCs w:val="20"/>
        </w:rPr>
      </w:pPr>
    </w:p>
    <w:p w14:paraId="52924C83" w14:textId="76AFC338" w:rsidR="0052192A" w:rsidRPr="00FF7E71" w:rsidRDefault="0052192A"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Bird, S., Klein, E., &amp; Loper, E. (2009). Natural language processing with Python: analyzing text with the natural language toolkit. " O&amp;#x27;Reilly Media, Inc."</w:t>
      </w:r>
    </w:p>
    <w:p w14:paraId="26CDEBE1" w14:textId="77777777" w:rsidR="000A63F9" w:rsidRPr="00FF7E71" w:rsidRDefault="000A63F9" w:rsidP="00FF7E71">
      <w:pPr>
        <w:spacing w:after="0" w:line="312" w:lineRule="auto"/>
        <w:jc w:val="both"/>
        <w:rPr>
          <w:rFonts w:ascii="Times New Roman" w:hAnsi="Times New Roman" w:cs="Times New Roman"/>
          <w:sz w:val="20"/>
          <w:szCs w:val="20"/>
        </w:rPr>
      </w:pPr>
    </w:p>
    <w:p w14:paraId="0684294C" w14:textId="7E26762B" w:rsidR="002F4222" w:rsidRPr="00FF7E71" w:rsidRDefault="000A63F9"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 xml:space="preserve">Chia K. H., Wee, E. (2021, December 28). Enhanced disclosures on climate-related information &amp; board diversity policy for SGX-listed companies. Lexology. Retrieved from </w:t>
      </w:r>
      <w:hyperlink r:id="rId8" w:history="1">
        <w:r w:rsidRPr="00FF7E71">
          <w:rPr>
            <w:rStyle w:val="Hyperlink"/>
            <w:rFonts w:ascii="Times New Roman" w:hAnsi="Times New Roman" w:cs="Times New Roman"/>
            <w:sz w:val="20"/>
            <w:szCs w:val="20"/>
          </w:rPr>
          <w:t>https://www.lexology.com/library/detail.aspx?g=1b4ea3d2-1330-4f35-8e5f-447f181e3e64</w:t>
        </w:r>
      </w:hyperlink>
      <w:r w:rsidRPr="00FF7E71">
        <w:rPr>
          <w:rFonts w:ascii="Times New Roman" w:hAnsi="Times New Roman" w:cs="Times New Roman"/>
          <w:sz w:val="20"/>
          <w:szCs w:val="20"/>
        </w:rPr>
        <w:t xml:space="preserve"> on 2022, April 13</w:t>
      </w:r>
    </w:p>
    <w:p w14:paraId="49EC099C" w14:textId="7F3990E4" w:rsidR="006F1F10" w:rsidRPr="00FF7E71" w:rsidRDefault="006F1F10" w:rsidP="00FF7E71">
      <w:pPr>
        <w:spacing w:after="0" w:line="312" w:lineRule="auto"/>
        <w:jc w:val="both"/>
        <w:rPr>
          <w:rFonts w:ascii="Times New Roman" w:hAnsi="Times New Roman" w:cs="Times New Roman"/>
          <w:sz w:val="20"/>
          <w:szCs w:val="20"/>
        </w:rPr>
      </w:pPr>
    </w:p>
    <w:p w14:paraId="5E787842" w14:textId="003104CF" w:rsidR="006F1F10" w:rsidRPr="00FF7E71" w:rsidRDefault="006F1F1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Ching, H. Y., Gerab, F., &amp; Toste, T. H. (2017). The quality of sustainability reports and corporate financial performance: Evidence from Brazilian listed companies. Sage Open, 7(2), 2158244017712027.</w:t>
      </w:r>
    </w:p>
    <w:p w14:paraId="7392245B" w14:textId="7AAF7BF4" w:rsidR="00103166" w:rsidRPr="00FF7E71" w:rsidRDefault="00103166" w:rsidP="00FF7E71">
      <w:pPr>
        <w:spacing w:after="0" w:line="312" w:lineRule="auto"/>
        <w:jc w:val="both"/>
        <w:rPr>
          <w:rFonts w:ascii="Times New Roman" w:hAnsi="Times New Roman" w:cs="Times New Roman"/>
          <w:sz w:val="20"/>
          <w:szCs w:val="20"/>
        </w:rPr>
      </w:pPr>
    </w:p>
    <w:p w14:paraId="3933350E" w14:textId="3BE9B874" w:rsidR="003666C3" w:rsidRPr="00FF7E71" w:rsidRDefault="003666C3"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Cho, C. H., &amp; Patten, D. M. (2007). The role of environmental disclosures as tools of legitimacy: A research note. Accounting, organizations and society, 32(7-8), 639-647.</w:t>
      </w:r>
    </w:p>
    <w:p w14:paraId="105603A6" w14:textId="4ED6B20C" w:rsidR="00B535AF" w:rsidRPr="00FF7E71" w:rsidRDefault="00B535AF" w:rsidP="00FF7E71">
      <w:pPr>
        <w:spacing w:after="0" w:line="312" w:lineRule="auto"/>
        <w:jc w:val="both"/>
        <w:rPr>
          <w:rFonts w:ascii="Times New Roman" w:hAnsi="Times New Roman" w:cs="Times New Roman"/>
          <w:sz w:val="20"/>
          <w:szCs w:val="20"/>
        </w:rPr>
      </w:pPr>
    </w:p>
    <w:p w14:paraId="1D795FC9" w14:textId="4445A445" w:rsidR="00B535AF" w:rsidRPr="00FF7E71" w:rsidRDefault="00B535AF"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Clarkson, P. M., Li, Y., Richardson, G. D., &amp; Vasvari, F. P. (2008). Revisiting the relation between environmental performance and environmental disclosure: An empirical analysis. Accounting, organizations and society, 33(4-5), 303-327.</w:t>
      </w:r>
    </w:p>
    <w:p w14:paraId="3EBBC1FC" w14:textId="440DAEFF" w:rsidR="00B535AF" w:rsidRPr="00FF7E71" w:rsidRDefault="00B535AF" w:rsidP="00FF7E71">
      <w:pPr>
        <w:spacing w:after="0" w:line="312" w:lineRule="auto"/>
        <w:jc w:val="both"/>
        <w:rPr>
          <w:rFonts w:ascii="Times New Roman" w:hAnsi="Times New Roman" w:cs="Times New Roman"/>
          <w:sz w:val="20"/>
          <w:szCs w:val="20"/>
        </w:rPr>
      </w:pPr>
    </w:p>
    <w:p w14:paraId="5BFF4D4B" w14:textId="1C7CB6C1" w:rsidR="00B535AF" w:rsidRPr="00FF7E71" w:rsidRDefault="00B535AF"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Connelly, B. L., Certo, S. T., Ireland, R. D., &amp; Reutzel, C. R. (2011). Signaling theory: A review and assessment. Journal of management, 37(1), 39-67.</w:t>
      </w:r>
    </w:p>
    <w:p w14:paraId="36FD965B" w14:textId="397DFFFE" w:rsidR="00594A51" w:rsidRPr="00FF7E71" w:rsidRDefault="00594A51" w:rsidP="00FF7E71">
      <w:pPr>
        <w:spacing w:after="0" w:line="312" w:lineRule="auto"/>
        <w:jc w:val="both"/>
        <w:rPr>
          <w:rFonts w:ascii="Times New Roman" w:hAnsi="Times New Roman" w:cs="Times New Roman"/>
          <w:sz w:val="20"/>
          <w:szCs w:val="20"/>
        </w:rPr>
      </w:pPr>
    </w:p>
    <w:p w14:paraId="31D2926F" w14:textId="3E5EB74F" w:rsidR="00594A51" w:rsidRPr="00FF7E71" w:rsidRDefault="00594A5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Cormier, D., Magnan, M., &amp; Van Velthoven, B. (2005). Environmental disclosure quality in large German companies: economic incentives, public pressures or institutional conditions?. European accounting review, 14(1), 3-39.</w:t>
      </w:r>
    </w:p>
    <w:p w14:paraId="543B1C0A" w14:textId="77777777" w:rsidR="003666C3" w:rsidRPr="00FF7E71" w:rsidRDefault="003666C3" w:rsidP="00FF7E71">
      <w:pPr>
        <w:spacing w:after="0" w:line="312" w:lineRule="auto"/>
        <w:jc w:val="both"/>
        <w:rPr>
          <w:rFonts w:ascii="Times New Roman" w:hAnsi="Times New Roman" w:cs="Times New Roman"/>
          <w:sz w:val="20"/>
          <w:szCs w:val="20"/>
        </w:rPr>
      </w:pPr>
    </w:p>
    <w:p w14:paraId="2D660129" w14:textId="2C1BE03A" w:rsidR="00103166" w:rsidRPr="00FF7E71" w:rsidRDefault="00103166" w:rsidP="00FF7E71">
      <w:pPr>
        <w:spacing w:after="0" w:line="312" w:lineRule="auto"/>
        <w:jc w:val="both"/>
        <w:rPr>
          <w:rFonts w:ascii="Times New Roman" w:hAnsi="Times New Roman" w:cs="Times New Roman"/>
          <w:sz w:val="20"/>
          <w:szCs w:val="20"/>
        </w:rPr>
      </w:pPr>
      <w:r w:rsidRPr="00103166">
        <w:rPr>
          <w:rFonts w:ascii="Times New Roman" w:hAnsi="Times New Roman" w:cs="Times New Roman"/>
          <w:sz w:val="20"/>
          <w:szCs w:val="20"/>
        </w:rPr>
        <w:t>Elkington, J., &amp; Rowlands, I. H. (1999). Cannibals with forks: The triple bottom line of 21st century business. </w:t>
      </w:r>
      <w:r w:rsidRPr="00103166">
        <w:rPr>
          <w:rFonts w:ascii="Times New Roman" w:hAnsi="Times New Roman" w:cs="Times New Roman"/>
          <w:i/>
          <w:iCs/>
          <w:sz w:val="20"/>
          <w:szCs w:val="20"/>
        </w:rPr>
        <w:t>Alternatives Journal</w:t>
      </w:r>
      <w:r w:rsidRPr="00103166">
        <w:rPr>
          <w:rFonts w:ascii="Times New Roman" w:hAnsi="Times New Roman" w:cs="Times New Roman"/>
          <w:sz w:val="20"/>
          <w:szCs w:val="20"/>
        </w:rPr>
        <w:t>, </w:t>
      </w:r>
      <w:r w:rsidRPr="00103166">
        <w:rPr>
          <w:rFonts w:ascii="Times New Roman" w:hAnsi="Times New Roman" w:cs="Times New Roman"/>
          <w:i/>
          <w:iCs/>
          <w:sz w:val="20"/>
          <w:szCs w:val="20"/>
        </w:rPr>
        <w:t>25</w:t>
      </w:r>
      <w:r w:rsidRPr="00103166">
        <w:rPr>
          <w:rFonts w:ascii="Times New Roman" w:hAnsi="Times New Roman" w:cs="Times New Roman"/>
          <w:sz w:val="20"/>
          <w:szCs w:val="20"/>
        </w:rPr>
        <w:t>(4), 42.</w:t>
      </w:r>
    </w:p>
    <w:p w14:paraId="4475CA51" w14:textId="74331495" w:rsidR="003666C3" w:rsidRPr="00FF7E71" w:rsidRDefault="003666C3" w:rsidP="00FF7E71">
      <w:pPr>
        <w:spacing w:after="0" w:line="312" w:lineRule="auto"/>
        <w:jc w:val="both"/>
        <w:rPr>
          <w:rFonts w:ascii="Times New Roman" w:hAnsi="Times New Roman" w:cs="Times New Roman"/>
          <w:sz w:val="20"/>
          <w:szCs w:val="20"/>
        </w:rPr>
      </w:pPr>
    </w:p>
    <w:p w14:paraId="66A9829A" w14:textId="64F46D64" w:rsidR="00E60A45" w:rsidRPr="00FF7E71" w:rsidRDefault="00E60A45"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Galani, D., Gravas, E., &amp; Stavropoulos, A. (2012). Company characteristics and environmental policy. Business Strategy and the Environment, 21(4), 236-247.</w:t>
      </w:r>
    </w:p>
    <w:p w14:paraId="0B1DD432" w14:textId="77777777" w:rsidR="00E60A45" w:rsidRPr="00FF7E71" w:rsidRDefault="00E60A45" w:rsidP="00FF7E71">
      <w:pPr>
        <w:spacing w:after="0" w:line="312" w:lineRule="auto"/>
        <w:jc w:val="both"/>
        <w:rPr>
          <w:rFonts w:ascii="Times New Roman" w:hAnsi="Times New Roman" w:cs="Times New Roman"/>
          <w:sz w:val="20"/>
          <w:szCs w:val="20"/>
        </w:rPr>
      </w:pPr>
    </w:p>
    <w:p w14:paraId="5ED8FDD0" w14:textId="13591922" w:rsidR="00594A51" w:rsidRPr="00FF7E71" w:rsidRDefault="00594A5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Hooghiemstra, R. (2000). Corporate communication and impression management–new perspectives why companies engage in corporate social reporting. Journal of business ethics, 27(1), 55-68.</w:t>
      </w:r>
    </w:p>
    <w:p w14:paraId="75E21ED5" w14:textId="77777777" w:rsidR="00594A51" w:rsidRPr="00FF7E71" w:rsidRDefault="00594A51" w:rsidP="00FF7E71">
      <w:pPr>
        <w:spacing w:after="0" w:line="312" w:lineRule="auto"/>
        <w:jc w:val="both"/>
        <w:rPr>
          <w:rFonts w:ascii="Times New Roman" w:hAnsi="Times New Roman" w:cs="Times New Roman"/>
          <w:sz w:val="20"/>
          <w:szCs w:val="20"/>
        </w:rPr>
      </w:pPr>
    </w:p>
    <w:p w14:paraId="14091461" w14:textId="259BDBC9" w:rsidR="003666C3" w:rsidRPr="00103166" w:rsidRDefault="003666C3"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O’Donovan, G. (2002). Environmental disclosures in the annual report: Extending the applicability and predictive power of legitimacy theory. Accounting, Auditing &amp; Accountability Journal.</w:t>
      </w:r>
    </w:p>
    <w:p w14:paraId="5BF7DC30" w14:textId="0D72E9B0" w:rsidR="002F4222" w:rsidRPr="00FF7E71" w:rsidRDefault="002F4222" w:rsidP="00FF7E71">
      <w:pPr>
        <w:spacing w:after="0" w:line="312" w:lineRule="auto"/>
        <w:jc w:val="both"/>
        <w:rPr>
          <w:rFonts w:ascii="Times New Roman" w:hAnsi="Times New Roman" w:cs="Times New Roman"/>
          <w:sz w:val="20"/>
          <w:szCs w:val="20"/>
        </w:rPr>
      </w:pPr>
    </w:p>
    <w:p w14:paraId="4602C2AF" w14:textId="4749B071" w:rsidR="002F4222" w:rsidRPr="00FF7E71" w:rsidRDefault="002F4222"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Jones, S., Frost, G., Loftus, J., &amp; Van Der Laan, S. (2007). An empirical examination of the market returns and financial performance of entities engaged in sustainability reporting. Australian accounting review, 17(41), 78-87.</w:t>
      </w:r>
    </w:p>
    <w:p w14:paraId="1CD8B5B0" w14:textId="70337C43" w:rsidR="002F4222" w:rsidRPr="00FF7E71" w:rsidRDefault="002F4222" w:rsidP="00FF7E71">
      <w:pPr>
        <w:spacing w:after="0" w:line="312" w:lineRule="auto"/>
        <w:jc w:val="both"/>
        <w:rPr>
          <w:rFonts w:ascii="Times New Roman" w:hAnsi="Times New Roman" w:cs="Times New Roman"/>
          <w:sz w:val="20"/>
          <w:szCs w:val="20"/>
        </w:rPr>
      </w:pPr>
    </w:p>
    <w:p w14:paraId="0233107A" w14:textId="18E8349F" w:rsidR="005C6AB4" w:rsidRPr="00FF7E71" w:rsidRDefault="005C6AB4"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lastRenderedPageBreak/>
        <w:t>Khaveh, A., Nikhasemi, S. R., Haque, A., &amp; Yousefi, A. (2012). Voluntary sustainability disclosure, revenue, and shareholders wealth-a perspective from Singaporean companies. Business Management Dynamics, 1(9), 06-12.</w:t>
      </w:r>
    </w:p>
    <w:p w14:paraId="4994E574" w14:textId="77777777" w:rsidR="005C6AB4" w:rsidRPr="00FF7E71" w:rsidRDefault="005C6AB4" w:rsidP="00FF7E71">
      <w:pPr>
        <w:spacing w:after="0" w:line="312" w:lineRule="auto"/>
        <w:jc w:val="both"/>
        <w:rPr>
          <w:rFonts w:ascii="Times New Roman" w:hAnsi="Times New Roman" w:cs="Times New Roman"/>
          <w:sz w:val="20"/>
          <w:szCs w:val="20"/>
        </w:rPr>
      </w:pPr>
    </w:p>
    <w:p w14:paraId="76155F16" w14:textId="68AB4B4F" w:rsidR="002F4222" w:rsidRPr="00FF7E71" w:rsidRDefault="002F4222"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Kasbun, N. F., Teh, B. H., &amp; San Ong, T. (2016). Sustainability reporting and financial performance of Malaysian public listed companies. Institutions and Economies, 78-93.</w:t>
      </w:r>
    </w:p>
    <w:p w14:paraId="0E750AE4" w14:textId="3B2F839A" w:rsidR="00197C37" w:rsidRPr="00FF7E71" w:rsidRDefault="00197C37" w:rsidP="00FF7E71">
      <w:pPr>
        <w:spacing w:after="0" w:line="312" w:lineRule="auto"/>
        <w:jc w:val="both"/>
        <w:rPr>
          <w:rFonts w:ascii="Times New Roman" w:hAnsi="Times New Roman" w:cs="Times New Roman"/>
          <w:sz w:val="20"/>
          <w:szCs w:val="20"/>
        </w:rPr>
      </w:pPr>
    </w:p>
    <w:p w14:paraId="28D87C52" w14:textId="7C65D991" w:rsidR="00197C37" w:rsidRPr="00FF7E71" w:rsidRDefault="00197C37"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Loh, L., Thomas, T., &amp; Wang, Y. (2017). Sustainability reporting and firm value: Evidence from Singapore-listed companies. Sustainability, 9(11), 2112.</w:t>
      </w:r>
    </w:p>
    <w:p w14:paraId="3DF08BED" w14:textId="43CDF76E" w:rsidR="006F1F10" w:rsidRPr="00FF7E71" w:rsidRDefault="006F1F10" w:rsidP="00FF7E71">
      <w:pPr>
        <w:spacing w:after="0" w:line="312" w:lineRule="auto"/>
        <w:jc w:val="both"/>
        <w:rPr>
          <w:rFonts w:ascii="Times New Roman" w:hAnsi="Times New Roman" w:cs="Times New Roman"/>
          <w:sz w:val="20"/>
          <w:szCs w:val="20"/>
        </w:rPr>
      </w:pPr>
    </w:p>
    <w:p w14:paraId="4F9A0CC1" w14:textId="6C648F50" w:rsidR="006F1F10" w:rsidRPr="00FF7E71" w:rsidRDefault="006F1F1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Motwani, S. S., &amp; Pandya, H. B. (2016). Evaluating the impact of sustainability reporting on financial performance of selected Indian companies. </w:t>
      </w:r>
      <w:r w:rsidRPr="00FF7E71">
        <w:rPr>
          <w:rFonts w:ascii="Times New Roman" w:hAnsi="Times New Roman" w:cs="Times New Roman"/>
          <w:i/>
          <w:iCs/>
          <w:sz w:val="20"/>
          <w:szCs w:val="20"/>
        </w:rPr>
        <w:t>International Journal of Research in IT and Management</w:t>
      </w:r>
      <w:r w:rsidRPr="00FF7E71">
        <w:rPr>
          <w:rFonts w:ascii="Times New Roman" w:hAnsi="Times New Roman" w:cs="Times New Roman"/>
          <w:sz w:val="20"/>
          <w:szCs w:val="20"/>
        </w:rPr>
        <w:t>, </w:t>
      </w:r>
      <w:r w:rsidRPr="00FF7E71">
        <w:rPr>
          <w:rFonts w:ascii="Times New Roman" w:hAnsi="Times New Roman" w:cs="Times New Roman"/>
          <w:i/>
          <w:iCs/>
          <w:sz w:val="20"/>
          <w:szCs w:val="20"/>
        </w:rPr>
        <w:t>6</w:t>
      </w:r>
      <w:r w:rsidRPr="00FF7E71">
        <w:rPr>
          <w:rFonts w:ascii="Times New Roman" w:hAnsi="Times New Roman" w:cs="Times New Roman"/>
          <w:sz w:val="20"/>
          <w:szCs w:val="20"/>
        </w:rPr>
        <w:t>(2), 14-23.</w:t>
      </w:r>
    </w:p>
    <w:p w14:paraId="5B4BC0BC" w14:textId="77777777" w:rsidR="006F1F10" w:rsidRPr="00FF7E71" w:rsidRDefault="006F1F10" w:rsidP="00FF7E71">
      <w:pPr>
        <w:spacing w:after="0" w:line="312" w:lineRule="auto"/>
        <w:jc w:val="both"/>
        <w:rPr>
          <w:rFonts w:ascii="Times New Roman" w:hAnsi="Times New Roman" w:cs="Times New Roman"/>
          <w:sz w:val="20"/>
          <w:szCs w:val="20"/>
        </w:rPr>
      </w:pPr>
    </w:p>
    <w:p w14:paraId="1557C885" w14:textId="71680F4B" w:rsidR="006F1F10" w:rsidRPr="00FF7E71" w:rsidRDefault="006F1F1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Oncioiu, I., Petrescu, A. G., Bîlcan, F. R., Petrescu, M., Popescu, D. M., &amp; Anghel, E. (2020). Corporate Sustainability Reporting and Financial Performance. Sustainability, 12(10), 4297.</w:t>
      </w:r>
    </w:p>
    <w:p w14:paraId="401FB6E4" w14:textId="1BB83268" w:rsidR="00BF3100" w:rsidRPr="00FF7E71" w:rsidRDefault="00BF3100" w:rsidP="00FF7E71">
      <w:pPr>
        <w:spacing w:after="0" w:line="312" w:lineRule="auto"/>
        <w:jc w:val="both"/>
        <w:rPr>
          <w:rFonts w:ascii="Times New Roman" w:hAnsi="Times New Roman" w:cs="Times New Roman"/>
          <w:sz w:val="20"/>
          <w:szCs w:val="20"/>
        </w:rPr>
      </w:pPr>
    </w:p>
    <w:p w14:paraId="047270A3" w14:textId="6C487C84" w:rsidR="00BF3100" w:rsidRPr="00FF7E71" w:rsidRDefault="00BF310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Pang, B., Lee, L., &amp; Vaithyanathan, S. (2002). Thumbs up? Sentiment classification using machine learning techniques. </w:t>
      </w:r>
      <w:r w:rsidRPr="00FF7E71">
        <w:rPr>
          <w:rFonts w:ascii="Times New Roman" w:hAnsi="Times New Roman" w:cs="Times New Roman"/>
          <w:i/>
          <w:iCs/>
          <w:sz w:val="20"/>
          <w:szCs w:val="20"/>
        </w:rPr>
        <w:t>arXiv preprint cs/0205070</w:t>
      </w:r>
      <w:r w:rsidRPr="00FF7E71">
        <w:rPr>
          <w:rFonts w:ascii="Times New Roman" w:hAnsi="Times New Roman" w:cs="Times New Roman"/>
          <w:sz w:val="20"/>
          <w:szCs w:val="20"/>
        </w:rPr>
        <w:t>.</w:t>
      </w:r>
    </w:p>
    <w:p w14:paraId="49CB95F6" w14:textId="6F0E738D" w:rsidR="006F1F10" w:rsidRPr="00FF7E71" w:rsidRDefault="006F1F10" w:rsidP="00FF7E71">
      <w:pPr>
        <w:spacing w:after="0" w:line="312" w:lineRule="auto"/>
        <w:jc w:val="both"/>
        <w:rPr>
          <w:rFonts w:ascii="Times New Roman" w:hAnsi="Times New Roman" w:cs="Times New Roman"/>
          <w:sz w:val="20"/>
          <w:szCs w:val="20"/>
        </w:rPr>
      </w:pPr>
    </w:p>
    <w:p w14:paraId="1873D3D3" w14:textId="52061B36" w:rsidR="00D7511A" w:rsidRPr="00FF7E71" w:rsidRDefault="00D7511A"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Reddy, K., &amp; Gordon, L. (2010). The effect of sustainability reporting on financial performance: An empirical study using listed companies.</w:t>
      </w:r>
    </w:p>
    <w:p w14:paraId="301DC386" w14:textId="77777777" w:rsidR="00D7511A" w:rsidRPr="00FF7E71" w:rsidRDefault="00D7511A" w:rsidP="00FF7E71">
      <w:pPr>
        <w:spacing w:after="0" w:line="312" w:lineRule="auto"/>
        <w:jc w:val="both"/>
        <w:rPr>
          <w:rFonts w:ascii="Times New Roman" w:hAnsi="Times New Roman" w:cs="Times New Roman"/>
          <w:sz w:val="20"/>
          <w:szCs w:val="20"/>
        </w:rPr>
      </w:pPr>
    </w:p>
    <w:p w14:paraId="5348EA62" w14:textId="01F863D2" w:rsidR="002A4CD3" w:rsidRPr="00FF7E71" w:rsidRDefault="002A4CD3"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Rehurek, R., &amp; Sojka, P. (2011). Gensim–python framework for vector space modelling. NLP Centre, Faculty of Informatics, Masaryk University, Brno, Czech Republic, 3(2).</w:t>
      </w:r>
    </w:p>
    <w:p w14:paraId="311A24A4" w14:textId="52FC67A5" w:rsidR="00034900" w:rsidRPr="00FF7E71" w:rsidRDefault="00034900" w:rsidP="00FF7E71">
      <w:pPr>
        <w:spacing w:after="0" w:line="312" w:lineRule="auto"/>
        <w:jc w:val="both"/>
        <w:rPr>
          <w:rFonts w:ascii="Times New Roman" w:hAnsi="Times New Roman" w:cs="Times New Roman"/>
          <w:sz w:val="20"/>
          <w:szCs w:val="20"/>
        </w:rPr>
      </w:pPr>
    </w:p>
    <w:p w14:paraId="3820FB09" w14:textId="0CB99869" w:rsidR="00034900" w:rsidRPr="00FF7E71" w:rsidRDefault="00034900"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Richardson, A. J., Welker, M., &amp; Hutchinson, I. R. (1999). Managing capital market reactions to corporate social resposibility. International Journal of Management Reviews, 1(1), 17-43.</w:t>
      </w:r>
    </w:p>
    <w:p w14:paraId="6086A681" w14:textId="28AE7F67" w:rsidR="00F3211E" w:rsidRPr="00FF7E71" w:rsidRDefault="00F3211E" w:rsidP="00FF7E71">
      <w:pPr>
        <w:spacing w:after="0" w:line="312" w:lineRule="auto"/>
        <w:jc w:val="both"/>
        <w:rPr>
          <w:rFonts w:ascii="Times New Roman" w:hAnsi="Times New Roman" w:cs="Times New Roman"/>
          <w:sz w:val="20"/>
          <w:szCs w:val="20"/>
        </w:rPr>
      </w:pPr>
    </w:p>
    <w:p w14:paraId="495A5268" w14:textId="11B7CDC5" w:rsidR="00F3211E" w:rsidRPr="00FF7E71" w:rsidRDefault="00F3211E"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Singapore Exchange. (2022). </w:t>
      </w:r>
      <w:r w:rsidRPr="00FF7E71">
        <w:rPr>
          <w:rFonts w:ascii="Times New Roman" w:hAnsi="Times New Roman" w:cs="Times New Roman"/>
          <w:i/>
          <w:iCs/>
          <w:sz w:val="20"/>
          <w:szCs w:val="20"/>
        </w:rPr>
        <w:t>Sustainability reporting</w:t>
      </w:r>
      <w:r w:rsidRPr="00FF7E71">
        <w:rPr>
          <w:rFonts w:ascii="Times New Roman" w:hAnsi="Times New Roman" w:cs="Times New Roman"/>
          <w:sz w:val="20"/>
          <w:szCs w:val="20"/>
        </w:rPr>
        <w:t xml:space="preserve">. Singapore Exchange - Singapore Exchange (SGX). Retrieved from </w:t>
      </w:r>
      <w:hyperlink r:id="rId9" w:history="1">
        <w:r w:rsidRPr="00FF7E71">
          <w:rPr>
            <w:rStyle w:val="Hyperlink"/>
            <w:rFonts w:ascii="Times New Roman" w:hAnsi="Times New Roman" w:cs="Times New Roman"/>
            <w:sz w:val="20"/>
            <w:szCs w:val="20"/>
          </w:rPr>
          <w:t>https://www.sgx.com/regulation/sustainability-reporting</w:t>
        </w:r>
      </w:hyperlink>
      <w:r w:rsidRPr="00FF7E71">
        <w:rPr>
          <w:rFonts w:ascii="Times New Roman" w:hAnsi="Times New Roman" w:cs="Times New Roman"/>
          <w:sz w:val="20"/>
          <w:szCs w:val="20"/>
        </w:rPr>
        <w:t xml:space="preserve"> on 2022, April 13</w:t>
      </w:r>
    </w:p>
    <w:p w14:paraId="7AC2D416" w14:textId="52AB29BD" w:rsidR="006F1F10" w:rsidRPr="00FF7E71" w:rsidRDefault="006F1F10" w:rsidP="00FF7E71">
      <w:pPr>
        <w:spacing w:after="0" w:line="312" w:lineRule="auto"/>
        <w:jc w:val="both"/>
        <w:rPr>
          <w:rFonts w:ascii="Times New Roman" w:hAnsi="Times New Roman" w:cs="Times New Roman"/>
          <w:sz w:val="20"/>
          <w:szCs w:val="20"/>
        </w:rPr>
      </w:pPr>
    </w:p>
    <w:p w14:paraId="0B6D21E9" w14:textId="526A2DFB" w:rsidR="00594A51" w:rsidRPr="00FF7E71" w:rsidRDefault="00594A51"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Tagesson, T., Blank, V., Broberg, P., &amp; Collin, S. O. (2009). What explains the extent and content of social and environmental disclosures on corporate websites: a study of social and environmental reporting in Swedish listed corporations. Corporate social responsibility and environmental management, 16(6), 352-364.</w:t>
      </w:r>
    </w:p>
    <w:p w14:paraId="391F606E" w14:textId="77777777" w:rsidR="00594A51" w:rsidRPr="00FF7E71" w:rsidRDefault="00594A51" w:rsidP="00FF7E71">
      <w:pPr>
        <w:spacing w:after="0" w:line="312" w:lineRule="auto"/>
        <w:jc w:val="both"/>
        <w:rPr>
          <w:rFonts w:ascii="Times New Roman" w:hAnsi="Times New Roman" w:cs="Times New Roman"/>
          <w:sz w:val="20"/>
          <w:szCs w:val="20"/>
        </w:rPr>
      </w:pPr>
    </w:p>
    <w:p w14:paraId="48724519" w14:textId="12F8C739" w:rsidR="00197C37" w:rsidRPr="00FF7E71" w:rsidRDefault="00197C37"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Tsang, E. W. (1998). A longitudinal study of corporate social reporting in Singapore: The case of the banking, food and beverages and hotel industries. Accounting, Auditing &amp; Accountability Journal.</w:t>
      </w:r>
    </w:p>
    <w:p w14:paraId="6CFF80F0" w14:textId="21026FF9" w:rsidR="00197C37" w:rsidRPr="00FF7E71" w:rsidRDefault="00197C37" w:rsidP="00FF7E71">
      <w:pPr>
        <w:spacing w:after="0" w:line="312" w:lineRule="auto"/>
        <w:jc w:val="both"/>
        <w:rPr>
          <w:rFonts w:ascii="Times New Roman" w:hAnsi="Times New Roman" w:cs="Times New Roman"/>
          <w:sz w:val="20"/>
          <w:szCs w:val="20"/>
        </w:rPr>
      </w:pPr>
    </w:p>
    <w:p w14:paraId="758E75CD" w14:textId="6F815FE9" w:rsidR="00197C37" w:rsidRPr="00FF7E71" w:rsidRDefault="00197C37" w:rsidP="00FF7E71">
      <w:pPr>
        <w:spacing w:after="0" w:line="312" w:lineRule="auto"/>
        <w:jc w:val="both"/>
        <w:rPr>
          <w:rFonts w:ascii="Times New Roman" w:hAnsi="Times New Roman" w:cs="Times New Roman"/>
          <w:sz w:val="20"/>
          <w:szCs w:val="20"/>
        </w:rPr>
      </w:pPr>
      <w:r w:rsidRPr="00FF7E71">
        <w:rPr>
          <w:rFonts w:ascii="Times New Roman" w:hAnsi="Times New Roman" w:cs="Times New Roman"/>
          <w:sz w:val="20"/>
          <w:szCs w:val="20"/>
        </w:rPr>
        <w:t>Wahyuningrum, I. F. S., Oktavilia, S., Putri, N., Solikhah, B., Djajadikerta, H., &amp; Tjahjaningsih, E. (2021). Company financial performance, company characteristics, and environmental disclosure: evidence from Singapore. In IOP Conference Series: Earth and Environmental Science (Vol. 623, No. 1, p. 012065). IOP Publishing.</w:t>
      </w:r>
    </w:p>
    <w:sectPr w:rsidR="00197C37" w:rsidRPr="00FF7E71" w:rsidSect="00536438">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61CF"/>
    <w:multiLevelType w:val="hybridMultilevel"/>
    <w:tmpl w:val="F904AD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D105AC"/>
    <w:multiLevelType w:val="multilevel"/>
    <w:tmpl w:val="6D26DF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9016D6"/>
    <w:multiLevelType w:val="multilevel"/>
    <w:tmpl w:val="737CB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280791"/>
    <w:multiLevelType w:val="hybridMultilevel"/>
    <w:tmpl w:val="1290A0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D0A461D"/>
    <w:multiLevelType w:val="multilevel"/>
    <w:tmpl w:val="39E6B0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E0F518E"/>
    <w:multiLevelType w:val="hybridMultilevel"/>
    <w:tmpl w:val="FA5087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FA8508A"/>
    <w:multiLevelType w:val="hybridMultilevel"/>
    <w:tmpl w:val="04FC75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BC46488"/>
    <w:multiLevelType w:val="multilevel"/>
    <w:tmpl w:val="07E2D4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8354687">
    <w:abstractNumId w:val="6"/>
  </w:num>
  <w:num w:numId="2" w16cid:durableId="1157843425">
    <w:abstractNumId w:val="0"/>
  </w:num>
  <w:num w:numId="3" w16cid:durableId="265504156">
    <w:abstractNumId w:val="7"/>
  </w:num>
  <w:num w:numId="4" w16cid:durableId="1162047448">
    <w:abstractNumId w:val="4"/>
  </w:num>
  <w:num w:numId="5" w16cid:durableId="83454319">
    <w:abstractNumId w:val="2"/>
  </w:num>
  <w:num w:numId="6" w16cid:durableId="360321087">
    <w:abstractNumId w:val="1"/>
  </w:num>
  <w:num w:numId="7" w16cid:durableId="576287810">
    <w:abstractNumId w:val="5"/>
  </w:num>
  <w:num w:numId="8" w16cid:durableId="1180318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13"/>
    <w:rsid w:val="00034900"/>
    <w:rsid w:val="00065960"/>
    <w:rsid w:val="00092099"/>
    <w:rsid w:val="000A63F9"/>
    <w:rsid w:val="00103166"/>
    <w:rsid w:val="00153B2D"/>
    <w:rsid w:val="001937A6"/>
    <w:rsid w:val="00197C37"/>
    <w:rsid w:val="001A7826"/>
    <w:rsid w:val="00225E88"/>
    <w:rsid w:val="00261F8C"/>
    <w:rsid w:val="002674A2"/>
    <w:rsid w:val="002A4CD3"/>
    <w:rsid w:val="002F4222"/>
    <w:rsid w:val="002F64E2"/>
    <w:rsid w:val="002F7536"/>
    <w:rsid w:val="00311113"/>
    <w:rsid w:val="00336DA1"/>
    <w:rsid w:val="003565A4"/>
    <w:rsid w:val="003666C3"/>
    <w:rsid w:val="00382297"/>
    <w:rsid w:val="003D0FB9"/>
    <w:rsid w:val="003F65FF"/>
    <w:rsid w:val="004049DD"/>
    <w:rsid w:val="00482047"/>
    <w:rsid w:val="004844AA"/>
    <w:rsid w:val="0049214D"/>
    <w:rsid w:val="004C4DDD"/>
    <w:rsid w:val="0052192A"/>
    <w:rsid w:val="00536438"/>
    <w:rsid w:val="00594A51"/>
    <w:rsid w:val="005C6AB4"/>
    <w:rsid w:val="00676B2C"/>
    <w:rsid w:val="0068382A"/>
    <w:rsid w:val="006B18E5"/>
    <w:rsid w:val="006F1F10"/>
    <w:rsid w:val="00705619"/>
    <w:rsid w:val="00720392"/>
    <w:rsid w:val="007516B3"/>
    <w:rsid w:val="007813D7"/>
    <w:rsid w:val="007C22B9"/>
    <w:rsid w:val="00852C5B"/>
    <w:rsid w:val="008B3102"/>
    <w:rsid w:val="008B75A0"/>
    <w:rsid w:val="00906CB1"/>
    <w:rsid w:val="00A84012"/>
    <w:rsid w:val="00A86B25"/>
    <w:rsid w:val="00AA65A7"/>
    <w:rsid w:val="00AB2A6C"/>
    <w:rsid w:val="00B43ABC"/>
    <w:rsid w:val="00B535AF"/>
    <w:rsid w:val="00BC611D"/>
    <w:rsid w:val="00BF3100"/>
    <w:rsid w:val="00C40F4B"/>
    <w:rsid w:val="00C6364F"/>
    <w:rsid w:val="00CB533B"/>
    <w:rsid w:val="00D20B61"/>
    <w:rsid w:val="00D7511A"/>
    <w:rsid w:val="00D96C35"/>
    <w:rsid w:val="00DB57B7"/>
    <w:rsid w:val="00DE1B62"/>
    <w:rsid w:val="00E00FF1"/>
    <w:rsid w:val="00E60A45"/>
    <w:rsid w:val="00E62BEC"/>
    <w:rsid w:val="00EB2611"/>
    <w:rsid w:val="00ED392D"/>
    <w:rsid w:val="00EE285C"/>
    <w:rsid w:val="00EF3075"/>
    <w:rsid w:val="00F3211E"/>
    <w:rsid w:val="00F6479F"/>
    <w:rsid w:val="00F81134"/>
    <w:rsid w:val="00FA6135"/>
    <w:rsid w:val="00FF0298"/>
    <w:rsid w:val="00FF7E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4E9A"/>
  <w15:chartTrackingRefBased/>
  <w15:docId w15:val="{45593CBB-F38F-4C36-995D-5D6C9618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36"/>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36"/>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2F7536"/>
  </w:style>
  <w:style w:type="paragraph" w:styleId="NoSpacing">
    <w:name w:val="No Spacing"/>
    <w:uiPriority w:val="1"/>
    <w:qFormat/>
    <w:rsid w:val="002F7536"/>
    <w:pPr>
      <w:spacing w:after="0" w:line="240" w:lineRule="auto"/>
    </w:pPr>
  </w:style>
  <w:style w:type="character" w:styleId="Hyperlink">
    <w:name w:val="Hyperlink"/>
    <w:basedOn w:val="DefaultParagraphFont"/>
    <w:uiPriority w:val="99"/>
    <w:unhideWhenUsed/>
    <w:rsid w:val="000A63F9"/>
    <w:rPr>
      <w:color w:val="0563C1" w:themeColor="hyperlink"/>
      <w:u w:val="single"/>
    </w:rPr>
  </w:style>
  <w:style w:type="character" w:styleId="UnresolvedMention">
    <w:name w:val="Unresolved Mention"/>
    <w:basedOn w:val="DefaultParagraphFont"/>
    <w:uiPriority w:val="99"/>
    <w:semiHidden/>
    <w:unhideWhenUsed/>
    <w:rsid w:val="000A63F9"/>
    <w:rPr>
      <w:color w:val="605E5C"/>
      <w:shd w:val="clear" w:color="auto" w:fill="E1DFDD"/>
    </w:rPr>
  </w:style>
  <w:style w:type="paragraph" w:styleId="ListParagraph">
    <w:name w:val="List Paragraph"/>
    <w:basedOn w:val="Normal"/>
    <w:uiPriority w:val="34"/>
    <w:qFormat/>
    <w:rsid w:val="00F6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601">
      <w:bodyDiv w:val="1"/>
      <w:marLeft w:val="0"/>
      <w:marRight w:val="0"/>
      <w:marTop w:val="0"/>
      <w:marBottom w:val="0"/>
      <w:divBdr>
        <w:top w:val="none" w:sz="0" w:space="0" w:color="auto"/>
        <w:left w:val="none" w:sz="0" w:space="0" w:color="auto"/>
        <w:bottom w:val="none" w:sz="0" w:space="0" w:color="auto"/>
        <w:right w:val="none" w:sz="0" w:space="0" w:color="auto"/>
      </w:divBdr>
    </w:div>
    <w:div w:id="92481581">
      <w:bodyDiv w:val="1"/>
      <w:marLeft w:val="0"/>
      <w:marRight w:val="0"/>
      <w:marTop w:val="0"/>
      <w:marBottom w:val="0"/>
      <w:divBdr>
        <w:top w:val="none" w:sz="0" w:space="0" w:color="auto"/>
        <w:left w:val="none" w:sz="0" w:space="0" w:color="auto"/>
        <w:bottom w:val="none" w:sz="0" w:space="0" w:color="auto"/>
        <w:right w:val="none" w:sz="0" w:space="0" w:color="auto"/>
      </w:divBdr>
    </w:div>
    <w:div w:id="120541391">
      <w:bodyDiv w:val="1"/>
      <w:marLeft w:val="0"/>
      <w:marRight w:val="0"/>
      <w:marTop w:val="0"/>
      <w:marBottom w:val="0"/>
      <w:divBdr>
        <w:top w:val="none" w:sz="0" w:space="0" w:color="auto"/>
        <w:left w:val="none" w:sz="0" w:space="0" w:color="auto"/>
        <w:bottom w:val="none" w:sz="0" w:space="0" w:color="auto"/>
        <w:right w:val="none" w:sz="0" w:space="0" w:color="auto"/>
      </w:divBdr>
    </w:div>
    <w:div w:id="294338904">
      <w:bodyDiv w:val="1"/>
      <w:marLeft w:val="0"/>
      <w:marRight w:val="0"/>
      <w:marTop w:val="0"/>
      <w:marBottom w:val="0"/>
      <w:divBdr>
        <w:top w:val="none" w:sz="0" w:space="0" w:color="auto"/>
        <w:left w:val="none" w:sz="0" w:space="0" w:color="auto"/>
        <w:bottom w:val="none" w:sz="0" w:space="0" w:color="auto"/>
        <w:right w:val="none" w:sz="0" w:space="0" w:color="auto"/>
      </w:divBdr>
    </w:div>
    <w:div w:id="295574049">
      <w:bodyDiv w:val="1"/>
      <w:marLeft w:val="0"/>
      <w:marRight w:val="0"/>
      <w:marTop w:val="0"/>
      <w:marBottom w:val="0"/>
      <w:divBdr>
        <w:top w:val="none" w:sz="0" w:space="0" w:color="auto"/>
        <w:left w:val="none" w:sz="0" w:space="0" w:color="auto"/>
        <w:bottom w:val="none" w:sz="0" w:space="0" w:color="auto"/>
        <w:right w:val="none" w:sz="0" w:space="0" w:color="auto"/>
      </w:divBdr>
    </w:div>
    <w:div w:id="301469793">
      <w:bodyDiv w:val="1"/>
      <w:marLeft w:val="0"/>
      <w:marRight w:val="0"/>
      <w:marTop w:val="0"/>
      <w:marBottom w:val="0"/>
      <w:divBdr>
        <w:top w:val="none" w:sz="0" w:space="0" w:color="auto"/>
        <w:left w:val="none" w:sz="0" w:space="0" w:color="auto"/>
        <w:bottom w:val="none" w:sz="0" w:space="0" w:color="auto"/>
        <w:right w:val="none" w:sz="0" w:space="0" w:color="auto"/>
      </w:divBdr>
    </w:div>
    <w:div w:id="313338439">
      <w:bodyDiv w:val="1"/>
      <w:marLeft w:val="0"/>
      <w:marRight w:val="0"/>
      <w:marTop w:val="0"/>
      <w:marBottom w:val="0"/>
      <w:divBdr>
        <w:top w:val="none" w:sz="0" w:space="0" w:color="auto"/>
        <w:left w:val="none" w:sz="0" w:space="0" w:color="auto"/>
        <w:bottom w:val="none" w:sz="0" w:space="0" w:color="auto"/>
        <w:right w:val="none" w:sz="0" w:space="0" w:color="auto"/>
      </w:divBdr>
    </w:div>
    <w:div w:id="484323920">
      <w:bodyDiv w:val="1"/>
      <w:marLeft w:val="0"/>
      <w:marRight w:val="0"/>
      <w:marTop w:val="0"/>
      <w:marBottom w:val="0"/>
      <w:divBdr>
        <w:top w:val="none" w:sz="0" w:space="0" w:color="auto"/>
        <w:left w:val="none" w:sz="0" w:space="0" w:color="auto"/>
        <w:bottom w:val="none" w:sz="0" w:space="0" w:color="auto"/>
        <w:right w:val="none" w:sz="0" w:space="0" w:color="auto"/>
      </w:divBdr>
    </w:div>
    <w:div w:id="694500601">
      <w:bodyDiv w:val="1"/>
      <w:marLeft w:val="0"/>
      <w:marRight w:val="0"/>
      <w:marTop w:val="0"/>
      <w:marBottom w:val="0"/>
      <w:divBdr>
        <w:top w:val="none" w:sz="0" w:space="0" w:color="auto"/>
        <w:left w:val="none" w:sz="0" w:space="0" w:color="auto"/>
        <w:bottom w:val="none" w:sz="0" w:space="0" w:color="auto"/>
        <w:right w:val="none" w:sz="0" w:space="0" w:color="auto"/>
      </w:divBdr>
    </w:div>
    <w:div w:id="728187827">
      <w:bodyDiv w:val="1"/>
      <w:marLeft w:val="0"/>
      <w:marRight w:val="0"/>
      <w:marTop w:val="0"/>
      <w:marBottom w:val="0"/>
      <w:divBdr>
        <w:top w:val="none" w:sz="0" w:space="0" w:color="auto"/>
        <w:left w:val="none" w:sz="0" w:space="0" w:color="auto"/>
        <w:bottom w:val="none" w:sz="0" w:space="0" w:color="auto"/>
        <w:right w:val="none" w:sz="0" w:space="0" w:color="auto"/>
      </w:divBdr>
    </w:div>
    <w:div w:id="758911368">
      <w:bodyDiv w:val="1"/>
      <w:marLeft w:val="0"/>
      <w:marRight w:val="0"/>
      <w:marTop w:val="0"/>
      <w:marBottom w:val="0"/>
      <w:divBdr>
        <w:top w:val="none" w:sz="0" w:space="0" w:color="auto"/>
        <w:left w:val="none" w:sz="0" w:space="0" w:color="auto"/>
        <w:bottom w:val="none" w:sz="0" w:space="0" w:color="auto"/>
        <w:right w:val="none" w:sz="0" w:space="0" w:color="auto"/>
      </w:divBdr>
    </w:div>
    <w:div w:id="885602610">
      <w:bodyDiv w:val="1"/>
      <w:marLeft w:val="0"/>
      <w:marRight w:val="0"/>
      <w:marTop w:val="0"/>
      <w:marBottom w:val="0"/>
      <w:divBdr>
        <w:top w:val="none" w:sz="0" w:space="0" w:color="auto"/>
        <w:left w:val="none" w:sz="0" w:space="0" w:color="auto"/>
        <w:bottom w:val="none" w:sz="0" w:space="0" w:color="auto"/>
        <w:right w:val="none" w:sz="0" w:space="0" w:color="auto"/>
      </w:divBdr>
    </w:div>
    <w:div w:id="922564339">
      <w:bodyDiv w:val="1"/>
      <w:marLeft w:val="0"/>
      <w:marRight w:val="0"/>
      <w:marTop w:val="0"/>
      <w:marBottom w:val="0"/>
      <w:divBdr>
        <w:top w:val="none" w:sz="0" w:space="0" w:color="auto"/>
        <w:left w:val="none" w:sz="0" w:space="0" w:color="auto"/>
        <w:bottom w:val="none" w:sz="0" w:space="0" w:color="auto"/>
        <w:right w:val="none" w:sz="0" w:space="0" w:color="auto"/>
      </w:divBdr>
    </w:div>
    <w:div w:id="1142964452">
      <w:bodyDiv w:val="1"/>
      <w:marLeft w:val="0"/>
      <w:marRight w:val="0"/>
      <w:marTop w:val="0"/>
      <w:marBottom w:val="0"/>
      <w:divBdr>
        <w:top w:val="none" w:sz="0" w:space="0" w:color="auto"/>
        <w:left w:val="none" w:sz="0" w:space="0" w:color="auto"/>
        <w:bottom w:val="none" w:sz="0" w:space="0" w:color="auto"/>
        <w:right w:val="none" w:sz="0" w:space="0" w:color="auto"/>
      </w:divBdr>
    </w:div>
    <w:div w:id="1148790220">
      <w:bodyDiv w:val="1"/>
      <w:marLeft w:val="0"/>
      <w:marRight w:val="0"/>
      <w:marTop w:val="0"/>
      <w:marBottom w:val="0"/>
      <w:divBdr>
        <w:top w:val="none" w:sz="0" w:space="0" w:color="auto"/>
        <w:left w:val="none" w:sz="0" w:space="0" w:color="auto"/>
        <w:bottom w:val="none" w:sz="0" w:space="0" w:color="auto"/>
        <w:right w:val="none" w:sz="0" w:space="0" w:color="auto"/>
      </w:divBdr>
    </w:div>
    <w:div w:id="1335766834">
      <w:bodyDiv w:val="1"/>
      <w:marLeft w:val="0"/>
      <w:marRight w:val="0"/>
      <w:marTop w:val="0"/>
      <w:marBottom w:val="0"/>
      <w:divBdr>
        <w:top w:val="none" w:sz="0" w:space="0" w:color="auto"/>
        <w:left w:val="none" w:sz="0" w:space="0" w:color="auto"/>
        <w:bottom w:val="none" w:sz="0" w:space="0" w:color="auto"/>
        <w:right w:val="none" w:sz="0" w:space="0" w:color="auto"/>
      </w:divBdr>
    </w:div>
    <w:div w:id="1438284908">
      <w:bodyDiv w:val="1"/>
      <w:marLeft w:val="0"/>
      <w:marRight w:val="0"/>
      <w:marTop w:val="0"/>
      <w:marBottom w:val="0"/>
      <w:divBdr>
        <w:top w:val="none" w:sz="0" w:space="0" w:color="auto"/>
        <w:left w:val="none" w:sz="0" w:space="0" w:color="auto"/>
        <w:bottom w:val="none" w:sz="0" w:space="0" w:color="auto"/>
        <w:right w:val="none" w:sz="0" w:space="0" w:color="auto"/>
      </w:divBdr>
    </w:div>
    <w:div w:id="1775511498">
      <w:bodyDiv w:val="1"/>
      <w:marLeft w:val="0"/>
      <w:marRight w:val="0"/>
      <w:marTop w:val="0"/>
      <w:marBottom w:val="0"/>
      <w:divBdr>
        <w:top w:val="none" w:sz="0" w:space="0" w:color="auto"/>
        <w:left w:val="none" w:sz="0" w:space="0" w:color="auto"/>
        <w:bottom w:val="none" w:sz="0" w:space="0" w:color="auto"/>
        <w:right w:val="none" w:sz="0" w:space="0" w:color="auto"/>
      </w:divBdr>
    </w:div>
    <w:div w:id="178241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ology.com/library/detail.aspx?g=1b4ea3d2-1330-4f35-8e5f-447f181e3e6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gx.com/regulation/sustainability-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Tsa98</b:Tag>
    <b:SourceType>JournalArticle</b:SourceType>
    <b:Guid>{84D49D15-7EFA-46E4-A7CE-F872C45A3186}</b:Guid>
    <b:Year>1998</b:Year>
    <b:JournalName>Accounting, Auditing &amp; Accountability Journal</b:JournalName>
    <b:Author>
      <b:Author>
        <b:NameList>
          <b:Person>
            <b:Last>Tsang</b:Last>
            <b:First>E.</b:First>
            <b:Middle>W.</b:Middle>
          </b:Person>
        </b:NameList>
      </b:Author>
    </b:Author>
    <b:Title>A longitudinal study of corporate social reporting in Singapore: The case of the banking, food and beverages and hotel industries</b:Title>
    <b:RefOrder>1</b:RefOrder>
  </b:Source>
</b:Sources>
</file>

<file path=customXml/itemProps1.xml><?xml version="1.0" encoding="utf-8"?>
<ds:datastoreItem xmlns:ds="http://schemas.openxmlformats.org/officeDocument/2006/customXml" ds:itemID="{53D8F32B-E82F-4918-B03C-5052064B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JEROME CHIA#</dc:creator>
  <cp:keywords/>
  <dc:description/>
  <cp:lastModifiedBy>Jeremy Chia</cp:lastModifiedBy>
  <cp:revision>4</cp:revision>
  <cp:lastPrinted>2022-04-14T21:19:00Z</cp:lastPrinted>
  <dcterms:created xsi:type="dcterms:W3CDTF">2022-04-14T10:42:00Z</dcterms:created>
  <dcterms:modified xsi:type="dcterms:W3CDTF">2022-04-14T21:20:00Z</dcterms:modified>
</cp:coreProperties>
</file>