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47E1B8DE" w:rsidR="004303FA" w:rsidRPr="00835CFC" w:rsidRDefault="00C5373D" w:rsidP="00835CFC">
      <w:pPr>
        <w:rPr>
          <w:b/>
          <w:bCs/>
        </w:rPr>
      </w:pPr>
      <w:r w:rsidRPr="00835CFC">
        <w:rPr>
          <w:b/>
          <w:bCs/>
        </w:rPr>
        <w:t>Assoc. Prof.</w:t>
      </w:r>
      <w:r w:rsidR="004303FA" w:rsidRPr="00835CFC">
        <w:rPr>
          <w:b/>
          <w:bCs/>
        </w:rPr>
        <w:t xml:space="preserve"> LUI Man Ching, Gladie</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I also certify that this paper has never been presented in previous studies at ESCP. If this research has been conducted as part of parallel studies, I have to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13460D47" w:rsidR="003069FC" w:rsidRDefault="003069FC" w:rsidP="00835CFC">
            <w:r>
              <w:t xml:space="preserve">Date: </w:t>
            </w:r>
            <w:r>
              <w:tab/>
              <w:t>30 September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65A9DB95" w:rsidR="00C5373D" w:rsidRPr="00835CFC" w:rsidRDefault="00C5373D" w:rsidP="00835CFC">
      <w:pPr>
        <w:jc w:val="center"/>
        <w:rPr>
          <w:i/>
          <w:iCs/>
        </w:rPr>
      </w:pPr>
      <w:r w:rsidRPr="00835CFC">
        <w:rPr>
          <w:i/>
          <w:iCs/>
        </w:rPr>
        <w:t>September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756342CC" w:rsidR="00D03155" w:rsidRPr="00835CFC" w:rsidRDefault="00C5373D" w:rsidP="00835CFC">
      <w:pPr>
        <w:jc w:val="center"/>
        <w:rPr>
          <w:i/>
          <w:iCs/>
        </w:rPr>
      </w:pPr>
      <w:r w:rsidRPr="00835CFC">
        <w:rPr>
          <w:i/>
          <w:iCs/>
        </w:rPr>
        <w:t>Supervised by: Assoc. Prof. LUI Man Ching, Gladie</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3806094"/>
      <w:r w:rsidRPr="00D9132F">
        <w:lastRenderedPageBreak/>
        <w:t>Abstract</w:t>
      </w:r>
      <w:bookmarkEnd w:id="0"/>
    </w:p>
    <w:p w14:paraId="6E0AD057" w14:textId="77777777" w:rsidR="00334F99" w:rsidRDefault="00334F99">
      <w:pPr>
        <w:spacing w:after="160" w:line="259" w:lineRule="auto"/>
        <w:jc w:val="left"/>
        <w:rPr>
          <w:b/>
          <w:bCs/>
          <w:sz w:val="32"/>
          <w:szCs w:val="32"/>
        </w:rPr>
      </w:pPr>
      <w:r>
        <w:br w:type="page"/>
      </w:r>
    </w:p>
    <w:p w14:paraId="1118C19B" w14:textId="77777777" w:rsidR="00334F99" w:rsidRDefault="00334F99" w:rsidP="0051095B">
      <w:pPr>
        <w:pStyle w:val="Heading1"/>
      </w:pPr>
      <w:bookmarkStart w:id="1" w:name="_Toc113806095"/>
      <w:r>
        <w:lastRenderedPageBreak/>
        <w:t>Acknowledgements</w:t>
      </w:r>
      <w:bookmarkEnd w:id="1"/>
    </w:p>
    <w:p w14:paraId="37EF2405" w14:textId="77777777" w:rsidR="009521A3" w:rsidRDefault="009521A3" w:rsidP="00334F99">
      <w:pPr>
        <w:sectPr w:rsidR="009521A3" w:rsidSect="009521A3">
          <w:footerReference w:type="default" r:id="rId16"/>
          <w:pgSz w:w="11906" w:h="16838" w:code="9"/>
          <w:pgMar w:top="1418" w:right="1418" w:bottom="1418" w:left="2268" w:header="709" w:footer="709" w:gutter="0"/>
          <w:pgNumType w:fmt="lowerRoman" w:start="1"/>
          <w:cols w:space="708"/>
          <w:docGrid w:linePitch="360"/>
        </w:sectPr>
      </w:pPr>
    </w:p>
    <w:sdt>
      <w:sdtPr>
        <w:rPr>
          <w:b w:val="0"/>
          <w:bCs w:val="0"/>
          <w:sz w:val="24"/>
          <w:szCs w:val="24"/>
        </w:rPr>
        <w:id w:val="1345521223"/>
        <w:docPartObj>
          <w:docPartGallery w:val="Table of Contents"/>
          <w:docPartUnique/>
        </w:docPartObj>
      </w:sdtPr>
      <w:sdtEndPr>
        <w:rPr>
          <w:noProof/>
        </w:rPr>
      </w:sdtEndPr>
      <w:sdtContent>
        <w:p w14:paraId="5334989A" w14:textId="558345CE" w:rsidR="00711E5D" w:rsidRPr="001766D8" w:rsidRDefault="00711E5D">
          <w:pPr>
            <w:pStyle w:val="TOCHeading"/>
            <w:rPr>
              <w:rStyle w:val="Heading1Char"/>
              <w:b/>
              <w:bCs/>
            </w:rPr>
          </w:pPr>
          <w:r w:rsidRPr="001766D8">
            <w:rPr>
              <w:rStyle w:val="Heading1Char"/>
              <w:b/>
              <w:bCs/>
            </w:rPr>
            <w:t>Table of Contents</w:t>
          </w:r>
        </w:p>
        <w:p w14:paraId="574BDEBD" w14:textId="42339FB4" w:rsidR="00AD4A12" w:rsidRDefault="00711E5D">
          <w:pPr>
            <w:pStyle w:val="TOC1"/>
            <w:tabs>
              <w:tab w:val="righ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3806094" w:history="1">
            <w:r w:rsidR="00AD4A12" w:rsidRPr="00570D8A">
              <w:rPr>
                <w:rStyle w:val="Hyperlink"/>
                <w:noProof/>
              </w:rPr>
              <w:t>Abstract</w:t>
            </w:r>
            <w:r w:rsidR="00AD4A12">
              <w:rPr>
                <w:noProof/>
                <w:webHidden/>
              </w:rPr>
              <w:tab/>
            </w:r>
            <w:r w:rsidR="00AD4A12">
              <w:rPr>
                <w:noProof/>
                <w:webHidden/>
              </w:rPr>
              <w:fldChar w:fldCharType="begin"/>
            </w:r>
            <w:r w:rsidR="00AD4A12">
              <w:rPr>
                <w:noProof/>
                <w:webHidden/>
              </w:rPr>
              <w:instrText xml:space="preserve"> PAGEREF _Toc113806094 \h </w:instrText>
            </w:r>
            <w:r w:rsidR="00AD4A12">
              <w:rPr>
                <w:noProof/>
                <w:webHidden/>
              </w:rPr>
            </w:r>
            <w:r w:rsidR="00AD4A12">
              <w:rPr>
                <w:noProof/>
                <w:webHidden/>
              </w:rPr>
              <w:fldChar w:fldCharType="separate"/>
            </w:r>
            <w:r w:rsidR="00AD4A12">
              <w:rPr>
                <w:noProof/>
                <w:webHidden/>
              </w:rPr>
              <w:t>i</w:t>
            </w:r>
            <w:r w:rsidR="00AD4A12">
              <w:rPr>
                <w:noProof/>
                <w:webHidden/>
              </w:rPr>
              <w:fldChar w:fldCharType="end"/>
            </w:r>
          </w:hyperlink>
        </w:p>
        <w:p w14:paraId="14ACDEF1" w14:textId="4D888D78" w:rsidR="00AD4A12" w:rsidRDefault="00000000">
          <w:pPr>
            <w:pStyle w:val="TOC1"/>
            <w:tabs>
              <w:tab w:val="right" w:pos="8210"/>
            </w:tabs>
            <w:rPr>
              <w:rFonts w:asciiTheme="minorHAnsi" w:hAnsiTheme="minorHAnsi" w:cstheme="minorBidi"/>
              <w:noProof/>
              <w:sz w:val="22"/>
              <w:szCs w:val="22"/>
            </w:rPr>
          </w:pPr>
          <w:hyperlink w:anchor="_Toc113806095" w:history="1">
            <w:r w:rsidR="00AD4A12" w:rsidRPr="00570D8A">
              <w:rPr>
                <w:rStyle w:val="Hyperlink"/>
                <w:noProof/>
              </w:rPr>
              <w:t>Acknowledgements</w:t>
            </w:r>
            <w:r w:rsidR="00AD4A12">
              <w:rPr>
                <w:noProof/>
                <w:webHidden/>
              </w:rPr>
              <w:tab/>
            </w:r>
            <w:r w:rsidR="00AD4A12">
              <w:rPr>
                <w:noProof/>
                <w:webHidden/>
              </w:rPr>
              <w:fldChar w:fldCharType="begin"/>
            </w:r>
            <w:r w:rsidR="00AD4A12">
              <w:rPr>
                <w:noProof/>
                <w:webHidden/>
              </w:rPr>
              <w:instrText xml:space="preserve"> PAGEREF _Toc113806095 \h </w:instrText>
            </w:r>
            <w:r w:rsidR="00AD4A12">
              <w:rPr>
                <w:noProof/>
                <w:webHidden/>
              </w:rPr>
            </w:r>
            <w:r w:rsidR="00AD4A12">
              <w:rPr>
                <w:noProof/>
                <w:webHidden/>
              </w:rPr>
              <w:fldChar w:fldCharType="separate"/>
            </w:r>
            <w:r w:rsidR="00AD4A12">
              <w:rPr>
                <w:noProof/>
                <w:webHidden/>
              </w:rPr>
              <w:t>ii</w:t>
            </w:r>
            <w:r w:rsidR="00AD4A12">
              <w:rPr>
                <w:noProof/>
                <w:webHidden/>
              </w:rPr>
              <w:fldChar w:fldCharType="end"/>
            </w:r>
          </w:hyperlink>
        </w:p>
        <w:p w14:paraId="46F174B4" w14:textId="158388C0" w:rsidR="00AD4A12" w:rsidRDefault="00000000">
          <w:pPr>
            <w:pStyle w:val="TOC1"/>
            <w:tabs>
              <w:tab w:val="right" w:pos="8210"/>
            </w:tabs>
            <w:rPr>
              <w:rFonts w:asciiTheme="minorHAnsi" w:hAnsiTheme="minorHAnsi" w:cstheme="minorBidi"/>
              <w:noProof/>
              <w:sz w:val="22"/>
              <w:szCs w:val="22"/>
            </w:rPr>
          </w:pPr>
          <w:hyperlink w:anchor="_Toc113806096" w:history="1">
            <w:r w:rsidR="00AD4A12" w:rsidRPr="00570D8A">
              <w:rPr>
                <w:rStyle w:val="Hyperlink"/>
                <w:noProof/>
              </w:rPr>
              <w:t>Table of Figures</w:t>
            </w:r>
            <w:r w:rsidR="00AD4A12">
              <w:rPr>
                <w:noProof/>
                <w:webHidden/>
              </w:rPr>
              <w:tab/>
            </w:r>
            <w:r w:rsidR="00AD4A12">
              <w:rPr>
                <w:noProof/>
                <w:webHidden/>
              </w:rPr>
              <w:fldChar w:fldCharType="begin"/>
            </w:r>
            <w:r w:rsidR="00AD4A12">
              <w:rPr>
                <w:noProof/>
                <w:webHidden/>
              </w:rPr>
              <w:instrText xml:space="preserve"> PAGEREF _Toc113806096 \h </w:instrText>
            </w:r>
            <w:r w:rsidR="00AD4A12">
              <w:rPr>
                <w:noProof/>
                <w:webHidden/>
              </w:rPr>
            </w:r>
            <w:r w:rsidR="00AD4A12">
              <w:rPr>
                <w:noProof/>
                <w:webHidden/>
              </w:rPr>
              <w:fldChar w:fldCharType="separate"/>
            </w:r>
            <w:r w:rsidR="00AD4A12">
              <w:rPr>
                <w:noProof/>
                <w:webHidden/>
              </w:rPr>
              <w:t>vi</w:t>
            </w:r>
            <w:r w:rsidR="00AD4A12">
              <w:rPr>
                <w:noProof/>
                <w:webHidden/>
              </w:rPr>
              <w:fldChar w:fldCharType="end"/>
            </w:r>
          </w:hyperlink>
        </w:p>
        <w:p w14:paraId="3816FD3A" w14:textId="49758F0F" w:rsidR="00AD4A12" w:rsidRDefault="00000000">
          <w:pPr>
            <w:pStyle w:val="TOC1"/>
            <w:tabs>
              <w:tab w:val="right" w:pos="8210"/>
            </w:tabs>
            <w:rPr>
              <w:rFonts w:asciiTheme="minorHAnsi" w:hAnsiTheme="minorHAnsi" w:cstheme="minorBidi"/>
              <w:noProof/>
              <w:sz w:val="22"/>
              <w:szCs w:val="22"/>
            </w:rPr>
          </w:pPr>
          <w:hyperlink w:anchor="_Toc113806097" w:history="1">
            <w:r w:rsidR="00AD4A12" w:rsidRPr="00570D8A">
              <w:rPr>
                <w:rStyle w:val="Hyperlink"/>
                <w:noProof/>
              </w:rPr>
              <w:t>Introduction</w:t>
            </w:r>
            <w:r w:rsidR="00AD4A12">
              <w:rPr>
                <w:noProof/>
                <w:webHidden/>
              </w:rPr>
              <w:tab/>
            </w:r>
            <w:r w:rsidR="00AD4A12">
              <w:rPr>
                <w:noProof/>
                <w:webHidden/>
              </w:rPr>
              <w:fldChar w:fldCharType="begin"/>
            </w:r>
            <w:r w:rsidR="00AD4A12">
              <w:rPr>
                <w:noProof/>
                <w:webHidden/>
              </w:rPr>
              <w:instrText xml:space="preserve"> PAGEREF _Toc113806097 \h </w:instrText>
            </w:r>
            <w:r w:rsidR="00AD4A12">
              <w:rPr>
                <w:noProof/>
                <w:webHidden/>
              </w:rPr>
            </w:r>
            <w:r w:rsidR="00AD4A12">
              <w:rPr>
                <w:noProof/>
                <w:webHidden/>
              </w:rPr>
              <w:fldChar w:fldCharType="separate"/>
            </w:r>
            <w:r w:rsidR="00AD4A12">
              <w:rPr>
                <w:noProof/>
                <w:webHidden/>
              </w:rPr>
              <w:t>1</w:t>
            </w:r>
            <w:r w:rsidR="00AD4A12">
              <w:rPr>
                <w:noProof/>
                <w:webHidden/>
              </w:rPr>
              <w:fldChar w:fldCharType="end"/>
            </w:r>
          </w:hyperlink>
        </w:p>
        <w:p w14:paraId="64FD59C2" w14:textId="77916409" w:rsidR="00AD4A12" w:rsidRDefault="00000000">
          <w:pPr>
            <w:pStyle w:val="TOC1"/>
            <w:tabs>
              <w:tab w:val="right" w:pos="8210"/>
            </w:tabs>
            <w:rPr>
              <w:rFonts w:asciiTheme="minorHAnsi" w:hAnsiTheme="minorHAnsi" w:cstheme="minorBidi"/>
              <w:noProof/>
              <w:sz w:val="22"/>
              <w:szCs w:val="22"/>
            </w:rPr>
          </w:pPr>
          <w:hyperlink w:anchor="_Toc113806098" w:history="1">
            <w:r w:rsidR="00AD4A12" w:rsidRPr="00570D8A">
              <w:rPr>
                <w:rStyle w:val="Hyperlink"/>
                <w:noProof/>
              </w:rPr>
              <w:t>Literature Review</w:t>
            </w:r>
            <w:r w:rsidR="00AD4A12">
              <w:rPr>
                <w:noProof/>
                <w:webHidden/>
              </w:rPr>
              <w:tab/>
            </w:r>
            <w:r w:rsidR="00AD4A12">
              <w:rPr>
                <w:noProof/>
                <w:webHidden/>
              </w:rPr>
              <w:fldChar w:fldCharType="begin"/>
            </w:r>
            <w:r w:rsidR="00AD4A12">
              <w:rPr>
                <w:noProof/>
                <w:webHidden/>
              </w:rPr>
              <w:instrText xml:space="preserve"> PAGEREF _Toc113806098 \h </w:instrText>
            </w:r>
            <w:r w:rsidR="00AD4A12">
              <w:rPr>
                <w:noProof/>
                <w:webHidden/>
              </w:rPr>
            </w:r>
            <w:r w:rsidR="00AD4A12">
              <w:rPr>
                <w:noProof/>
                <w:webHidden/>
              </w:rPr>
              <w:fldChar w:fldCharType="separate"/>
            </w:r>
            <w:r w:rsidR="00AD4A12">
              <w:rPr>
                <w:noProof/>
                <w:webHidden/>
              </w:rPr>
              <w:t>4</w:t>
            </w:r>
            <w:r w:rsidR="00AD4A12">
              <w:rPr>
                <w:noProof/>
                <w:webHidden/>
              </w:rPr>
              <w:fldChar w:fldCharType="end"/>
            </w:r>
          </w:hyperlink>
        </w:p>
        <w:p w14:paraId="66695073" w14:textId="355DC80F" w:rsidR="00AD4A12" w:rsidRDefault="00000000">
          <w:pPr>
            <w:pStyle w:val="TOC2"/>
            <w:tabs>
              <w:tab w:val="right" w:pos="8210"/>
            </w:tabs>
            <w:rPr>
              <w:rFonts w:asciiTheme="minorHAnsi" w:hAnsiTheme="minorHAnsi" w:cstheme="minorBidi"/>
              <w:noProof/>
              <w:sz w:val="22"/>
              <w:szCs w:val="22"/>
            </w:rPr>
          </w:pPr>
          <w:hyperlink w:anchor="_Toc113806099" w:history="1">
            <w:r w:rsidR="00AD4A12" w:rsidRPr="00570D8A">
              <w:rPr>
                <w:rStyle w:val="Hyperlink"/>
                <w:noProof/>
              </w:rPr>
              <w:t>Corporate Social Responsibility (CSR) versus Environmental, Social and Governance (ESG)</w:t>
            </w:r>
            <w:r w:rsidR="00AD4A12">
              <w:rPr>
                <w:noProof/>
                <w:webHidden/>
              </w:rPr>
              <w:tab/>
            </w:r>
            <w:r w:rsidR="00AD4A12">
              <w:rPr>
                <w:noProof/>
                <w:webHidden/>
              </w:rPr>
              <w:fldChar w:fldCharType="begin"/>
            </w:r>
            <w:r w:rsidR="00AD4A12">
              <w:rPr>
                <w:noProof/>
                <w:webHidden/>
              </w:rPr>
              <w:instrText xml:space="preserve"> PAGEREF _Toc113806099 \h </w:instrText>
            </w:r>
            <w:r w:rsidR="00AD4A12">
              <w:rPr>
                <w:noProof/>
                <w:webHidden/>
              </w:rPr>
            </w:r>
            <w:r w:rsidR="00AD4A12">
              <w:rPr>
                <w:noProof/>
                <w:webHidden/>
              </w:rPr>
              <w:fldChar w:fldCharType="separate"/>
            </w:r>
            <w:r w:rsidR="00AD4A12">
              <w:rPr>
                <w:noProof/>
                <w:webHidden/>
              </w:rPr>
              <w:t>4</w:t>
            </w:r>
            <w:r w:rsidR="00AD4A12">
              <w:rPr>
                <w:noProof/>
                <w:webHidden/>
              </w:rPr>
              <w:fldChar w:fldCharType="end"/>
            </w:r>
          </w:hyperlink>
        </w:p>
        <w:p w14:paraId="714037F9" w14:textId="004C1E33" w:rsidR="00AD4A12" w:rsidRDefault="00000000">
          <w:pPr>
            <w:pStyle w:val="TOC3"/>
            <w:tabs>
              <w:tab w:val="right" w:pos="8210"/>
            </w:tabs>
            <w:rPr>
              <w:rFonts w:asciiTheme="minorHAnsi" w:hAnsiTheme="minorHAnsi" w:cstheme="minorBidi"/>
              <w:noProof/>
              <w:sz w:val="22"/>
              <w:szCs w:val="22"/>
            </w:rPr>
          </w:pPr>
          <w:hyperlink w:anchor="_Toc113806100" w:history="1">
            <w:r w:rsidR="00AD4A12" w:rsidRPr="00570D8A">
              <w:rPr>
                <w:rStyle w:val="Hyperlink"/>
                <w:noProof/>
              </w:rPr>
              <w:t>Corporate Social Responsibility</w:t>
            </w:r>
            <w:r w:rsidR="00AD4A12">
              <w:rPr>
                <w:noProof/>
                <w:webHidden/>
              </w:rPr>
              <w:tab/>
            </w:r>
            <w:r w:rsidR="00AD4A12">
              <w:rPr>
                <w:noProof/>
                <w:webHidden/>
              </w:rPr>
              <w:fldChar w:fldCharType="begin"/>
            </w:r>
            <w:r w:rsidR="00AD4A12">
              <w:rPr>
                <w:noProof/>
                <w:webHidden/>
              </w:rPr>
              <w:instrText xml:space="preserve"> PAGEREF _Toc113806100 \h </w:instrText>
            </w:r>
            <w:r w:rsidR="00AD4A12">
              <w:rPr>
                <w:noProof/>
                <w:webHidden/>
              </w:rPr>
            </w:r>
            <w:r w:rsidR="00AD4A12">
              <w:rPr>
                <w:noProof/>
                <w:webHidden/>
              </w:rPr>
              <w:fldChar w:fldCharType="separate"/>
            </w:r>
            <w:r w:rsidR="00AD4A12">
              <w:rPr>
                <w:noProof/>
                <w:webHidden/>
              </w:rPr>
              <w:t>4</w:t>
            </w:r>
            <w:r w:rsidR="00AD4A12">
              <w:rPr>
                <w:noProof/>
                <w:webHidden/>
              </w:rPr>
              <w:fldChar w:fldCharType="end"/>
            </w:r>
          </w:hyperlink>
        </w:p>
        <w:p w14:paraId="47B03063" w14:textId="167665CB" w:rsidR="00AD4A12" w:rsidRDefault="00000000">
          <w:pPr>
            <w:pStyle w:val="TOC3"/>
            <w:tabs>
              <w:tab w:val="right" w:pos="8210"/>
            </w:tabs>
            <w:rPr>
              <w:rFonts w:asciiTheme="minorHAnsi" w:hAnsiTheme="minorHAnsi" w:cstheme="minorBidi"/>
              <w:noProof/>
              <w:sz w:val="22"/>
              <w:szCs w:val="22"/>
            </w:rPr>
          </w:pPr>
          <w:hyperlink w:anchor="_Toc113806101" w:history="1">
            <w:r w:rsidR="00AD4A12" w:rsidRPr="00570D8A">
              <w:rPr>
                <w:rStyle w:val="Hyperlink"/>
                <w:noProof/>
              </w:rPr>
              <w:t>Environmental, Social, and Governance</w:t>
            </w:r>
            <w:r w:rsidR="00AD4A12">
              <w:rPr>
                <w:noProof/>
                <w:webHidden/>
              </w:rPr>
              <w:tab/>
            </w:r>
            <w:r w:rsidR="00AD4A12">
              <w:rPr>
                <w:noProof/>
                <w:webHidden/>
              </w:rPr>
              <w:fldChar w:fldCharType="begin"/>
            </w:r>
            <w:r w:rsidR="00AD4A12">
              <w:rPr>
                <w:noProof/>
                <w:webHidden/>
              </w:rPr>
              <w:instrText xml:space="preserve"> PAGEREF _Toc113806101 \h </w:instrText>
            </w:r>
            <w:r w:rsidR="00AD4A12">
              <w:rPr>
                <w:noProof/>
                <w:webHidden/>
              </w:rPr>
            </w:r>
            <w:r w:rsidR="00AD4A12">
              <w:rPr>
                <w:noProof/>
                <w:webHidden/>
              </w:rPr>
              <w:fldChar w:fldCharType="separate"/>
            </w:r>
            <w:r w:rsidR="00AD4A12">
              <w:rPr>
                <w:noProof/>
                <w:webHidden/>
              </w:rPr>
              <w:t>6</w:t>
            </w:r>
            <w:r w:rsidR="00AD4A12">
              <w:rPr>
                <w:noProof/>
                <w:webHidden/>
              </w:rPr>
              <w:fldChar w:fldCharType="end"/>
            </w:r>
          </w:hyperlink>
        </w:p>
        <w:p w14:paraId="4D3D1337" w14:textId="2409656F" w:rsidR="00AD4A12" w:rsidRDefault="00000000">
          <w:pPr>
            <w:pStyle w:val="TOC2"/>
            <w:tabs>
              <w:tab w:val="right" w:pos="8210"/>
            </w:tabs>
            <w:rPr>
              <w:rFonts w:asciiTheme="minorHAnsi" w:hAnsiTheme="minorHAnsi" w:cstheme="minorBidi"/>
              <w:noProof/>
              <w:sz w:val="22"/>
              <w:szCs w:val="22"/>
            </w:rPr>
          </w:pPr>
          <w:hyperlink w:anchor="_Toc113806102" w:history="1">
            <w:r w:rsidR="00AD4A12" w:rsidRPr="00570D8A">
              <w:rPr>
                <w:rStyle w:val="Hyperlink"/>
                <w:noProof/>
              </w:rPr>
              <w:t>The Friedman Doctrine</w:t>
            </w:r>
            <w:r w:rsidR="00AD4A12">
              <w:rPr>
                <w:noProof/>
                <w:webHidden/>
              </w:rPr>
              <w:tab/>
            </w:r>
            <w:r w:rsidR="00AD4A12">
              <w:rPr>
                <w:noProof/>
                <w:webHidden/>
              </w:rPr>
              <w:fldChar w:fldCharType="begin"/>
            </w:r>
            <w:r w:rsidR="00AD4A12">
              <w:rPr>
                <w:noProof/>
                <w:webHidden/>
              </w:rPr>
              <w:instrText xml:space="preserve"> PAGEREF _Toc113806102 \h </w:instrText>
            </w:r>
            <w:r w:rsidR="00AD4A12">
              <w:rPr>
                <w:noProof/>
                <w:webHidden/>
              </w:rPr>
            </w:r>
            <w:r w:rsidR="00AD4A12">
              <w:rPr>
                <w:noProof/>
                <w:webHidden/>
              </w:rPr>
              <w:fldChar w:fldCharType="separate"/>
            </w:r>
            <w:r w:rsidR="00AD4A12">
              <w:rPr>
                <w:noProof/>
                <w:webHidden/>
              </w:rPr>
              <w:t>9</w:t>
            </w:r>
            <w:r w:rsidR="00AD4A12">
              <w:rPr>
                <w:noProof/>
                <w:webHidden/>
              </w:rPr>
              <w:fldChar w:fldCharType="end"/>
            </w:r>
          </w:hyperlink>
        </w:p>
        <w:p w14:paraId="3B17093C" w14:textId="5B10F2EA" w:rsidR="00AD4A12" w:rsidRDefault="00000000">
          <w:pPr>
            <w:pStyle w:val="TOC3"/>
            <w:tabs>
              <w:tab w:val="right" w:pos="8210"/>
            </w:tabs>
            <w:rPr>
              <w:rFonts w:asciiTheme="minorHAnsi" w:hAnsiTheme="minorHAnsi" w:cstheme="minorBidi"/>
              <w:noProof/>
              <w:sz w:val="22"/>
              <w:szCs w:val="22"/>
            </w:rPr>
          </w:pPr>
          <w:hyperlink w:anchor="_Toc113806103" w:history="1">
            <w:r w:rsidR="00AD4A12" w:rsidRPr="00570D8A">
              <w:rPr>
                <w:rStyle w:val="Hyperlink"/>
                <w:noProof/>
              </w:rPr>
              <w:t>A Rebuke: Strategic Corporate Social Responsibility</w:t>
            </w:r>
            <w:r w:rsidR="00AD4A12">
              <w:rPr>
                <w:noProof/>
                <w:webHidden/>
              </w:rPr>
              <w:tab/>
            </w:r>
            <w:r w:rsidR="00AD4A12">
              <w:rPr>
                <w:noProof/>
                <w:webHidden/>
              </w:rPr>
              <w:fldChar w:fldCharType="begin"/>
            </w:r>
            <w:r w:rsidR="00AD4A12">
              <w:rPr>
                <w:noProof/>
                <w:webHidden/>
              </w:rPr>
              <w:instrText xml:space="preserve"> PAGEREF _Toc113806103 \h </w:instrText>
            </w:r>
            <w:r w:rsidR="00AD4A12">
              <w:rPr>
                <w:noProof/>
                <w:webHidden/>
              </w:rPr>
            </w:r>
            <w:r w:rsidR="00AD4A12">
              <w:rPr>
                <w:noProof/>
                <w:webHidden/>
              </w:rPr>
              <w:fldChar w:fldCharType="separate"/>
            </w:r>
            <w:r w:rsidR="00AD4A12">
              <w:rPr>
                <w:noProof/>
                <w:webHidden/>
              </w:rPr>
              <w:t>10</w:t>
            </w:r>
            <w:r w:rsidR="00AD4A12">
              <w:rPr>
                <w:noProof/>
                <w:webHidden/>
              </w:rPr>
              <w:fldChar w:fldCharType="end"/>
            </w:r>
          </w:hyperlink>
        </w:p>
        <w:p w14:paraId="7DCA1DFB" w14:textId="61583AF7" w:rsidR="00AD4A12" w:rsidRDefault="00000000">
          <w:pPr>
            <w:pStyle w:val="TOC2"/>
            <w:tabs>
              <w:tab w:val="right" w:pos="8210"/>
            </w:tabs>
            <w:rPr>
              <w:rFonts w:asciiTheme="minorHAnsi" w:hAnsiTheme="minorHAnsi" w:cstheme="minorBidi"/>
              <w:noProof/>
              <w:sz w:val="22"/>
              <w:szCs w:val="22"/>
            </w:rPr>
          </w:pPr>
          <w:hyperlink w:anchor="_Toc113806104" w:history="1">
            <w:r w:rsidR="00AD4A12" w:rsidRPr="00570D8A">
              <w:rPr>
                <w:rStyle w:val="Hyperlink"/>
                <w:noProof/>
              </w:rPr>
              <w:t>History of Corporate Social Responsibility</w:t>
            </w:r>
            <w:r w:rsidR="00AD4A12">
              <w:rPr>
                <w:noProof/>
                <w:webHidden/>
              </w:rPr>
              <w:tab/>
            </w:r>
            <w:r w:rsidR="00AD4A12">
              <w:rPr>
                <w:noProof/>
                <w:webHidden/>
              </w:rPr>
              <w:fldChar w:fldCharType="begin"/>
            </w:r>
            <w:r w:rsidR="00AD4A12">
              <w:rPr>
                <w:noProof/>
                <w:webHidden/>
              </w:rPr>
              <w:instrText xml:space="preserve"> PAGEREF _Toc113806104 \h </w:instrText>
            </w:r>
            <w:r w:rsidR="00AD4A12">
              <w:rPr>
                <w:noProof/>
                <w:webHidden/>
              </w:rPr>
            </w:r>
            <w:r w:rsidR="00AD4A12">
              <w:rPr>
                <w:noProof/>
                <w:webHidden/>
              </w:rPr>
              <w:fldChar w:fldCharType="separate"/>
            </w:r>
            <w:r w:rsidR="00AD4A12">
              <w:rPr>
                <w:noProof/>
                <w:webHidden/>
              </w:rPr>
              <w:t>10</w:t>
            </w:r>
            <w:r w:rsidR="00AD4A12">
              <w:rPr>
                <w:noProof/>
                <w:webHidden/>
              </w:rPr>
              <w:fldChar w:fldCharType="end"/>
            </w:r>
          </w:hyperlink>
        </w:p>
        <w:p w14:paraId="4DED288F" w14:textId="2FD2DD09" w:rsidR="00AD4A12" w:rsidRDefault="00000000">
          <w:pPr>
            <w:pStyle w:val="TOC2"/>
            <w:tabs>
              <w:tab w:val="right" w:pos="8210"/>
            </w:tabs>
            <w:rPr>
              <w:rFonts w:asciiTheme="minorHAnsi" w:hAnsiTheme="minorHAnsi" w:cstheme="minorBidi"/>
              <w:noProof/>
              <w:sz w:val="22"/>
              <w:szCs w:val="22"/>
            </w:rPr>
          </w:pPr>
          <w:hyperlink w:anchor="_Toc113806105" w:history="1">
            <w:r w:rsidR="00AD4A12" w:rsidRPr="00570D8A">
              <w:rPr>
                <w:rStyle w:val="Hyperlink"/>
                <w:noProof/>
              </w:rPr>
              <w:t>Sustainability and the Sustainable Development Goals</w:t>
            </w:r>
            <w:r w:rsidR="00AD4A12">
              <w:rPr>
                <w:noProof/>
                <w:webHidden/>
              </w:rPr>
              <w:tab/>
            </w:r>
            <w:r w:rsidR="00AD4A12">
              <w:rPr>
                <w:noProof/>
                <w:webHidden/>
              </w:rPr>
              <w:fldChar w:fldCharType="begin"/>
            </w:r>
            <w:r w:rsidR="00AD4A12">
              <w:rPr>
                <w:noProof/>
                <w:webHidden/>
              </w:rPr>
              <w:instrText xml:space="preserve"> PAGEREF _Toc113806105 \h </w:instrText>
            </w:r>
            <w:r w:rsidR="00AD4A12">
              <w:rPr>
                <w:noProof/>
                <w:webHidden/>
              </w:rPr>
            </w:r>
            <w:r w:rsidR="00AD4A12">
              <w:rPr>
                <w:noProof/>
                <w:webHidden/>
              </w:rPr>
              <w:fldChar w:fldCharType="separate"/>
            </w:r>
            <w:r w:rsidR="00AD4A12">
              <w:rPr>
                <w:noProof/>
                <w:webHidden/>
              </w:rPr>
              <w:t>13</w:t>
            </w:r>
            <w:r w:rsidR="00AD4A12">
              <w:rPr>
                <w:noProof/>
                <w:webHidden/>
              </w:rPr>
              <w:fldChar w:fldCharType="end"/>
            </w:r>
          </w:hyperlink>
        </w:p>
        <w:p w14:paraId="1E39D1E3" w14:textId="53DFACF8" w:rsidR="00AD4A12" w:rsidRDefault="00000000">
          <w:pPr>
            <w:pStyle w:val="TOC2"/>
            <w:tabs>
              <w:tab w:val="right" w:pos="8210"/>
            </w:tabs>
            <w:rPr>
              <w:rFonts w:asciiTheme="minorHAnsi" w:hAnsiTheme="minorHAnsi" w:cstheme="minorBidi"/>
              <w:noProof/>
              <w:sz w:val="22"/>
              <w:szCs w:val="22"/>
            </w:rPr>
          </w:pPr>
          <w:hyperlink w:anchor="_Toc113806106" w:history="1">
            <w:r w:rsidR="00AD4A12" w:rsidRPr="00570D8A">
              <w:rPr>
                <w:rStyle w:val="Hyperlink"/>
                <w:noProof/>
              </w:rPr>
              <w:t>Sustainability Disclosures</w:t>
            </w:r>
            <w:r w:rsidR="00AD4A12">
              <w:rPr>
                <w:noProof/>
                <w:webHidden/>
              </w:rPr>
              <w:tab/>
            </w:r>
            <w:r w:rsidR="00AD4A12">
              <w:rPr>
                <w:noProof/>
                <w:webHidden/>
              </w:rPr>
              <w:fldChar w:fldCharType="begin"/>
            </w:r>
            <w:r w:rsidR="00AD4A12">
              <w:rPr>
                <w:noProof/>
                <w:webHidden/>
              </w:rPr>
              <w:instrText xml:space="preserve"> PAGEREF _Toc113806106 \h </w:instrText>
            </w:r>
            <w:r w:rsidR="00AD4A12">
              <w:rPr>
                <w:noProof/>
                <w:webHidden/>
              </w:rPr>
            </w:r>
            <w:r w:rsidR="00AD4A12">
              <w:rPr>
                <w:noProof/>
                <w:webHidden/>
              </w:rPr>
              <w:fldChar w:fldCharType="separate"/>
            </w:r>
            <w:r w:rsidR="00AD4A12">
              <w:rPr>
                <w:noProof/>
                <w:webHidden/>
              </w:rPr>
              <w:t>16</w:t>
            </w:r>
            <w:r w:rsidR="00AD4A12">
              <w:rPr>
                <w:noProof/>
                <w:webHidden/>
              </w:rPr>
              <w:fldChar w:fldCharType="end"/>
            </w:r>
          </w:hyperlink>
        </w:p>
        <w:p w14:paraId="2B35C66F" w14:textId="5BFA0EF4" w:rsidR="00AD4A12" w:rsidRDefault="00000000">
          <w:pPr>
            <w:pStyle w:val="TOC2"/>
            <w:tabs>
              <w:tab w:val="right" w:pos="8210"/>
            </w:tabs>
            <w:rPr>
              <w:rFonts w:asciiTheme="minorHAnsi" w:hAnsiTheme="minorHAnsi" w:cstheme="minorBidi"/>
              <w:noProof/>
              <w:sz w:val="22"/>
              <w:szCs w:val="22"/>
            </w:rPr>
          </w:pPr>
          <w:hyperlink w:anchor="_Toc113806107" w:history="1">
            <w:r w:rsidR="00AD4A12" w:rsidRPr="00570D8A">
              <w:rPr>
                <w:rStyle w:val="Hyperlink"/>
                <w:noProof/>
              </w:rPr>
              <w:t>Sustainability Reporting Standards</w:t>
            </w:r>
            <w:r w:rsidR="00AD4A12">
              <w:rPr>
                <w:noProof/>
                <w:webHidden/>
              </w:rPr>
              <w:tab/>
            </w:r>
            <w:r w:rsidR="00AD4A12">
              <w:rPr>
                <w:noProof/>
                <w:webHidden/>
              </w:rPr>
              <w:fldChar w:fldCharType="begin"/>
            </w:r>
            <w:r w:rsidR="00AD4A12">
              <w:rPr>
                <w:noProof/>
                <w:webHidden/>
              </w:rPr>
              <w:instrText xml:space="preserve"> PAGEREF _Toc113806107 \h </w:instrText>
            </w:r>
            <w:r w:rsidR="00AD4A12">
              <w:rPr>
                <w:noProof/>
                <w:webHidden/>
              </w:rPr>
            </w:r>
            <w:r w:rsidR="00AD4A12">
              <w:rPr>
                <w:noProof/>
                <w:webHidden/>
              </w:rPr>
              <w:fldChar w:fldCharType="separate"/>
            </w:r>
            <w:r w:rsidR="00AD4A12">
              <w:rPr>
                <w:noProof/>
                <w:webHidden/>
              </w:rPr>
              <w:t>19</w:t>
            </w:r>
            <w:r w:rsidR="00AD4A12">
              <w:rPr>
                <w:noProof/>
                <w:webHidden/>
              </w:rPr>
              <w:fldChar w:fldCharType="end"/>
            </w:r>
          </w:hyperlink>
        </w:p>
        <w:p w14:paraId="490A696A" w14:textId="0009B8D7" w:rsidR="00AD4A12" w:rsidRDefault="00000000">
          <w:pPr>
            <w:pStyle w:val="TOC3"/>
            <w:tabs>
              <w:tab w:val="right" w:pos="8210"/>
            </w:tabs>
            <w:rPr>
              <w:rFonts w:asciiTheme="minorHAnsi" w:hAnsiTheme="minorHAnsi" w:cstheme="minorBidi"/>
              <w:noProof/>
              <w:sz w:val="22"/>
              <w:szCs w:val="22"/>
            </w:rPr>
          </w:pPr>
          <w:hyperlink w:anchor="_Toc113806108" w:history="1">
            <w:r w:rsidR="00AD4A12" w:rsidRPr="00570D8A">
              <w:rPr>
                <w:rStyle w:val="Hyperlink"/>
                <w:noProof/>
              </w:rPr>
              <w:t>ISSB Exposure Drafts</w:t>
            </w:r>
            <w:r w:rsidR="00AD4A12">
              <w:rPr>
                <w:noProof/>
                <w:webHidden/>
              </w:rPr>
              <w:tab/>
            </w:r>
            <w:r w:rsidR="00AD4A12">
              <w:rPr>
                <w:noProof/>
                <w:webHidden/>
              </w:rPr>
              <w:fldChar w:fldCharType="begin"/>
            </w:r>
            <w:r w:rsidR="00AD4A12">
              <w:rPr>
                <w:noProof/>
                <w:webHidden/>
              </w:rPr>
              <w:instrText xml:space="preserve"> PAGEREF _Toc113806108 \h </w:instrText>
            </w:r>
            <w:r w:rsidR="00AD4A12">
              <w:rPr>
                <w:noProof/>
                <w:webHidden/>
              </w:rPr>
            </w:r>
            <w:r w:rsidR="00AD4A12">
              <w:rPr>
                <w:noProof/>
                <w:webHidden/>
              </w:rPr>
              <w:fldChar w:fldCharType="separate"/>
            </w:r>
            <w:r w:rsidR="00AD4A12">
              <w:rPr>
                <w:noProof/>
                <w:webHidden/>
              </w:rPr>
              <w:t>20</w:t>
            </w:r>
            <w:r w:rsidR="00AD4A12">
              <w:rPr>
                <w:noProof/>
                <w:webHidden/>
              </w:rPr>
              <w:fldChar w:fldCharType="end"/>
            </w:r>
          </w:hyperlink>
        </w:p>
        <w:p w14:paraId="2F7AE039" w14:textId="2C20DF21" w:rsidR="00AD4A12" w:rsidRDefault="00000000">
          <w:pPr>
            <w:pStyle w:val="TOC3"/>
            <w:tabs>
              <w:tab w:val="right" w:pos="8210"/>
            </w:tabs>
            <w:rPr>
              <w:rFonts w:asciiTheme="minorHAnsi" w:hAnsiTheme="minorHAnsi" w:cstheme="minorBidi"/>
              <w:noProof/>
              <w:sz w:val="22"/>
              <w:szCs w:val="22"/>
            </w:rPr>
          </w:pPr>
          <w:hyperlink w:anchor="_Toc113806109" w:history="1">
            <w:r w:rsidR="00AD4A12" w:rsidRPr="00570D8A">
              <w:rPr>
                <w:rStyle w:val="Hyperlink"/>
                <w:noProof/>
              </w:rPr>
              <w:t>Critique on ISSB’s Exposure Drafts</w:t>
            </w:r>
            <w:r w:rsidR="00AD4A12">
              <w:rPr>
                <w:noProof/>
                <w:webHidden/>
              </w:rPr>
              <w:tab/>
            </w:r>
            <w:r w:rsidR="00AD4A12">
              <w:rPr>
                <w:noProof/>
                <w:webHidden/>
              </w:rPr>
              <w:fldChar w:fldCharType="begin"/>
            </w:r>
            <w:r w:rsidR="00AD4A12">
              <w:rPr>
                <w:noProof/>
                <w:webHidden/>
              </w:rPr>
              <w:instrText xml:space="preserve"> PAGEREF _Toc113806109 \h </w:instrText>
            </w:r>
            <w:r w:rsidR="00AD4A12">
              <w:rPr>
                <w:noProof/>
                <w:webHidden/>
              </w:rPr>
            </w:r>
            <w:r w:rsidR="00AD4A12">
              <w:rPr>
                <w:noProof/>
                <w:webHidden/>
              </w:rPr>
              <w:fldChar w:fldCharType="separate"/>
            </w:r>
            <w:r w:rsidR="00AD4A12">
              <w:rPr>
                <w:noProof/>
                <w:webHidden/>
              </w:rPr>
              <w:t>23</w:t>
            </w:r>
            <w:r w:rsidR="00AD4A12">
              <w:rPr>
                <w:noProof/>
                <w:webHidden/>
              </w:rPr>
              <w:fldChar w:fldCharType="end"/>
            </w:r>
          </w:hyperlink>
        </w:p>
        <w:p w14:paraId="17F8C6F2" w14:textId="00C68D39" w:rsidR="00AD4A12" w:rsidRDefault="00000000">
          <w:pPr>
            <w:pStyle w:val="TOC2"/>
            <w:tabs>
              <w:tab w:val="right" w:pos="8210"/>
            </w:tabs>
            <w:rPr>
              <w:rFonts w:asciiTheme="minorHAnsi" w:hAnsiTheme="minorHAnsi" w:cstheme="minorBidi"/>
              <w:noProof/>
              <w:sz w:val="22"/>
              <w:szCs w:val="22"/>
            </w:rPr>
          </w:pPr>
          <w:hyperlink w:anchor="_Toc113806110" w:history="1">
            <w:r w:rsidR="00AD4A12" w:rsidRPr="00570D8A">
              <w:rPr>
                <w:rStyle w:val="Hyperlink"/>
                <w:noProof/>
              </w:rPr>
              <w:t>Sustainability and Climate Reporting Requirements</w:t>
            </w:r>
            <w:r w:rsidR="00AD4A12">
              <w:rPr>
                <w:noProof/>
                <w:webHidden/>
              </w:rPr>
              <w:tab/>
            </w:r>
            <w:r w:rsidR="00AD4A12">
              <w:rPr>
                <w:noProof/>
                <w:webHidden/>
              </w:rPr>
              <w:fldChar w:fldCharType="begin"/>
            </w:r>
            <w:r w:rsidR="00AD4A12">
              <w:rPr>
                <w:noProof/>
                <w:webHidden/>
              </w:rPr>
              <w:instrText xml:space="preserve"> PAGEREF _Toc113806110 \h </w:instrText>
            </w:r>
            <w:r w:rsidR="00AD4A12">
              <w:rPr>
                <w:noProof/>
                <w:webHidden/>
              </w:rPr>
            </w:r>
            <w:r w:rsidR="00AD4A12">
              <w:rPr>
                <w:noProof/>
                <w:webHidden/>
              </w:rPr>
              <w:fldChar w:fldCharType="separate"/>
            </w:r>
            <w:r w:rsidR="00AD4A12">
              <w:rPr>
                <w:noProof/>
                <w:webHidden/>
              </w:rPr>
              <w:t>25</w:t>
            </w:r>
            <w:r w:rsidR="00AD4A12">
              <w:rPr>
                <w:noProof/>
                <w:webHidden/>
              </w:rPr>
              <w:fldChar w:fldCharType="end"/>
            </w:r>
          </w:hyperlink>
        </w:p>
        <w:p w14:paraId="3DF4FC65" w14:textId="4B21A93C" w:rsidR="00AD4A12" w:rsidRDefault="00000000">
          <w:pPr>
            <w:pStyle w:val="TOC2"/>
            <w:tabs>
              <w:tab w:val="right" w:pos="8210"/>
            </w:tabs>
            <w:rPr>
              <w:rFonts w:asciiTheme="minorHAnsi" w:hAnsiTheme="minorHAnsi" w:cstheme="minorBidi"/>
              <w:noProof/>
              <w:sz w:val="22"/>
              <w:szCs w:val="22"/>
            </w:rPr>
          </w:pPr>
          <w:hyperlink w:anchor="_Toc113806111" w:history="1">
            <w:r w:rsidR="00AD4A12" w:rsidRPr="00570D8A">
              <w:rPr>
                <w:rStyle w:val="Hyperlink"/>
                <w:noProof/>
              </w:rPr>
              <w:t>Sustainability Reports</w:t>
            </w:r>
            <w:r w:rsidR="00AD4A12">
              <w:rPr>
                <w:noProof/>
                <w:webHidden/>
              </w:rPr>
              <w:tab/>
            </w:r>
            <w:r w:rsidR="00AD4A12">
              <w:rPr>
                <w:noProof/>
                <w:webHidden/>
              </w:rPr>
              <w:fldChar w:fldCharType="begin"/>
            </w:r>
            <w:r w:rsidR="00AD4A12">
              <w:rPr>
                <w:noProof/>
                <w:webHidden/>
              </w:rPr>
              <w:instrText xml:space="preserve"> PAGEREF _Toc113806111 \h </w:instrText>
            </w:r>
            <w:r w:rsidR="00AD4A12">
              <w:rPr>
                <w:noProof/>
                <w:webHidden/>
              </w:rPr>
            </w:r>
            <w:r w:rsidR="00AD4A12">
              <w:rPr>
                <w:noProof/>
                <w:webHidden/>
              </w:rPr>
              <w:fldChar w:fldCharType="separate"/>
            </w:r>
            <w:r w:rsidR="00AD4A12">
              <w:rPr>
                <w:noProof/>
                <w:webHidden/>
              </w:rPr>
              <w:t>28</w:t>
            </w:r>
            <w:r w:rsidR="00AD4A12">
              <w:rPr>
                <w:noProof/>
                <w:webHidden/>
              </w:rPr>
              <w:fldChar w:fldCharType="end"/>
            </w:r>
          </w:hyperlink>
        </w:p>
        <w:p w14:paraId="7A83774B" w14:textId="005B6D3F" w:rsidR="00AD4A12" w:rsidRDefault="00000000">
          <w:pPr>
            <w:pStyle w:val="TOC3"/>
            <w:tabs>
              <w:tab w:val="right" w:pos="8210"/>
            </w:tabs>
            <w:rPr>
              <w:rFonts w:asciiTheme="minorHAnsi" w:hAnsiTheme="minorHAnsi" w:cstheme="minorBidi"/>
              <w:noProof/>
              <w:sz w:val="22"/>
              <w:szCs w:val="22"/>
            </w:rPr>
          </w:pPr>
          <w:hyperlink w:anchor="_Toc113806112" w:history="1">
            <w:r w:rsidR="00AD4A12" w:rsidRPr="00570D8A">
              <w:rPr>
                <w:rStyle w:val="Hyperlink"/>
                <w:noProof/>
              </w:rPr>
              <w:t>Readability of Sustainability Reports</w:t>
            </w:r>
            <w:r w:rsidR="00AD4A12">
              <w:rPr>
                <w:noProof/>
                <w:webHidden/>
              </w:rPr>
              <w:tab/>
            </w:r>
            <w:r w:rsidR="00AD4A12">
              <w:rPr>
                <w:noProof/>
                <w:webHidden/>
              </w:rPr>
              <w:fldChar w:fldCharType="begin"/>
            </w:r>
            <w:r w:rsidR="00AD4A12">
              <w:rPr>
                <w:noProof/>
                <w:webHidden/>
              </w:rPr>
              <w:instrText xml:space="preserve"> PAGEREF _Toc113806112 \h </w:instrText>
            </w:r>
            <w:r w:rsidR="00AD4A12">
              <w:rPr>
                <w:noProof/>
                <w:webHidden/>
              </w:rPr>
            </w:r>
            <w:r w:rsidR="00AD4A12">
              <w:rPr>
                <w:noProof/>
                <w:webHidden/>
              </w:rPr>
              <w:fldChar w:fldCharType="separate"/>
            </w:r>
            <w:r w:rsidR="00AD4A12">
              <w:rPr>
                <w:noProof/>
                <w:webHidden/>
              </w:rPr>
              <w:t>28</w:t>
            </w:r>
            <w:r w:rsidR="00AD4A12">
              <w:rPr>
                <w:noProof/>
                <w:webHidden/>
              </w:rPr>
              <w:fldChar w:fldCharType="end"/>
            </w:r>
          </w:hyperlink>
        </w:p>
        <w:p w14:paraId="208478D3" w14:textId="544A447A" w:rsidR="00AD4A12" w:rsidRDefault="00000000">
          <w:pPr>
            <w:pStyle w:val="TOC3"/>
            <w:tabs>
              <w:tab w:val="right" w:pos="8210"/>
            </w:tabs>
            <w:rPr>
              <w:rFonts w:asciiTheme="minorHAnsi" w:hAnsiTheme="minorHAnsi" w:cstheme="minorBidi"/>
              <w:noProof/>
              <w:sz w:val="22"/>
              <w:szCs w:val="22"/>
            </w:rPr>
          </w:pPr>
          <w:hyperlink w:anchor="_Toc113806113" w:history="1">
            <w:r w:rsidR="00AD4A12" w:rsidRPr="00570D8A">
              <w:rPr>
                <w:rStyle w:val="Hyperlink"/>
                <w:noProof/>
              </w:rPr>
              <w:t>Assurance on Sustainability Reports</w:t>
            </w:r>
            <w:r w:rsidR="00AD4A12">
              <w:rPr>
                <w:noProof/>
                <w:webHidden/>
              </w:rPr>
              <w:tab/>
            </w:r>
            <w:r w:rsidR="00AD4A12">
              <w:rPr>
                <w:noProof/>
                <w:webHidden/>
              </w:rPr>
              <w:fldChar w:fldCharType="begin"/>
            </w:r>
            <w:r w:rsidR="00AD4A12">
              <w:rPr>
                <w:noProof/>
                <w:webHidden/>
              </w:rPr>
              <w:instrText xml:space="preserve"> PAGEREF _Toc113806113 \h </w:instrText>
            </w:r>
            <w:r w:rsidR="00AD4A12">
              <w:rPr>
                <w:noProof/>
                <w:webHidden/>
              </w:rPr>
            </w:r>
            <w:r w:rsidR="00AD4A12">
              <w:rPr>
                <w:noProof/>
                <w:webHidden/>
              </w:rPr>
              <w:fldChar w:fldCharType="separate"/>
            </w:r>
            <w:r w:rsidR="00AD4A12">
              <w:rPr>
                <w:noProof/>
                <w:webHidden/>
              </w:rPr>
              <w:t>29</w:t>
            </w:r>
            <w:r w:rsidR="00AD4A12">
              <w:rPr>
                <w:noProof/>
                <w:webHidden/>
              </w:rPr>
              <w:fldChar w:fldCharType="end"/>
            </w:r>
          </w:hyperlink>
        </w:p>
        <w:p w14:paraId="151C04CE" w14:textId="6ED60F99" w:rsidR="00AD4A12" w:rsidRDefault="00000000">
          <w:pPr>
            <w:pStyle w:val="TOC2"/>
            <w:tabs>
              <w:tab w:val="right" w:pos="8210"/>
            </w:tabs>
            <w:rPr>
              <w:rFonts w:asciiTheme="minorHAnsi" w:hAnsiTheme="minorHAnsi" w:cstheme="minorBidi"/>
              <w:noProof/>
              <w:sz w:val="22"/>
              <w:szCs w:val="22"/>
            </w:rPr>
          </w:pPr>
          <w:hyperlink w:anchor="_Toc113806114" w:history="1">
            <w:r w:rsidR="00AD4A12" w:rsidRPr="00570D8A">
              <w:rPr>
                <w:rStyle w:val="Hyperlink"/>
                <w:noProof/>
              </w:rPr>
              <w:t>Theories in Sustainability Disclosure and Financial Performance</w:t>
            </w:r>
            <w:r w:rsidR="00AD4A12">
              <w:rPr>
                <w:noProof/>
                <w:webHidden/>
              </w:rPr>
              <w:tab/>
            </w:r>
            <w:r w:rsidR="00AD4A12">
              <w:rPr>
                <w:noProof/>
                <w:webHidden/>
              </w:rPr>
              <w:fldChar w:fldCharType="begin"/>
            </w:r>
            <w:r w:rsidR="00AD4A12">
              <w:rPr>
                <w:noProof/>
                <w:webHidden/>
              </w:rPr>
              <w:instrText xml:space="preserve"> PAGEREF _Toc113806114 \h </w:instrText>
            </w:r>
            <w:r w:rsidR="00AD4A12">
              <w:rPr>
                <w:noProof/>
                <w:webHidden/>
              </w:rPr>
            </w:r>
            <w:r w:rsidR="00AD4A12">
              <w:rPr>
                <w:noProof/>
                <w:webHidden/>
              </w:rPr>
              <w:fldChar w:fldCharType="separate"/>
            </w:r>
            <w:r w:rsidR="00AD4A12">
              <w:rPr>
                <w:noProof/>
                <w:webHidden/>
              </w:rPr>
              <w:t>31</w:t>
            </w:r>
            <w:r w:rsidR="00AD4A12">
              <w:rPr>
                <w:noProof/>
                <w:webHidden/>
              </w:rPr>
              <w:fldChar w:fldCharType="end"/>
            </w:r>
          </w:hyperlink>
        </w:p>
        <w:p w14:paraId="6EF1179E" w14:textId="74478194" w:rsidR="00AD4A12" w:rsidRDefault="00000000">
          <w:pPr>
            <w:pStyle w:val="TOC3"/>
            <w:tabs>
              <w:tab w:val="right" w:pos="8210"/>
            </w:tabs>
            <w:rPr>
              <w:rFonts w:asciiTheme="minorHAnsi" w:hAnsiTheme="minorHAnsi" w:cstheme="minorBidi"/>
              <w:noProof/>
              <w:sz w:val="22"/>
              <w:szCs w:val="22"/>
            </w:rPr>
          </w:pPr>
          <w:hyperlink w:anchor="_Toc113806115" w:history="1">
            <w:r w:rsidR="00AD4A12" w:rsidRPr="00570D8A">
              <w:rPr>
                <w:rStyle w:val="Hyperlink"/>
                <w:noProof/>
              </w:rPr>
              <w:t>Legitimacy Theory</w:t>
            </w:r>
            <w:r w:rsidR="00AD4A12">
              <w:rPr>
                <w:noProof/>
                <w:webHidden/>
              </w:rPr>
              <w:tab/>
            </w:r>
            <w:r w:rsidR="00AD4A12">
              <w:rPr>
                <w:noProof/>
                <w:webHidden/>
              </w:rPr>
              <w:fldChar w:fldCharType="begin"/>
            </w:r>
            <w:r w:rsidR="00AD4A12">
              <w:rPr>
                <w:noProof/>
                <w:webHidden/>
              </w:rPr>
              <w:instrText xml:space="preserve"> PAGEREF _Toc113806115 \h </w:instrText>
            </w:r>
            <w:r w:rsidR="00AD4A12">
              <w:rPr>
                <w:noProof/>
                <w:webHidden/>
              </w:rPr>
            </w:r>
            <w:r w:rsidR="00AD4A12">
              <w:rPr>
                <w:noProof/>
                <w:webHidden/>
              </w:rPr>
              <w:fldChar w:fldCharType="separate"/>
            </w:r>
            <w:r w:rsidR="00AD4A12">
              <w:rPr>
                <w:noProof/>
                <w:webHidden/>
              </w:rPr>
              <w:t>31</w:t>
            </w:r>
            <w:r w:rsidR="00AD4A12">
              <w:rPr>
                <w:noProof/>
                <w:webHidden/>
              </w:rPr>
              <w:fldChar w:fldCharType="end"/>
            </w:r>
          </w:hyperlink>
        </w:p>
        <w:p w14:paraId="3223FEDC" w14:textId="50B88962" w:rsidR="00AD4A12" w:rsidRDefault="00000000">
          <w:pPr>
            <w:pStyle w:val="TOC3"/>
            <w:tabs>
              <w:tab w:val="right" w:pos="8210"/>
            </w:tabs>
            <w:rPr>
              <w:rFonts w:asciiTheme="minorHAnsi" w:hAnsiTheme="minorHAnsi" w:cstheme="minorBidi"/>
              <w:noProof/>
              <w:sz w:val="22"/>
              <w:szCs w:val="22"/>
            </w:rPr>
          </w:pPr>
          <w:hyperlink w:anchor="_Toc113806116" w:history="1">
            <w:r w:rsidR="00AD4A12" w:rsidRPr="00570D8A">
              <w:rPr>
                <w:rStyle w:val="Hyperlink"/>
                <w:noProof/>
              </w:rPr>
              <w:t>Institutional Theory</w:t>
            </w:r>
            <w:r w:rsidR="00AD4A12">
              <w:rPr>
                <w:noProof/>
                <w:webHidden/>
              </w:rPr>
              <w:tab/>
            </w:r>
            <w:r w:rsidR="00AD4A12">
              <w:rPr>
                <w:noProof/>
                <w:webHidden/>
              </w:rPr>
              <w:fldChar w:fldCharType="begin"/>
            </w:r>
            <w:r w:rsidR="00AD4A12">
              <w:rPr>
                <w:noProof/>
                <w:webHidden/>
              </w:rPr>
              <w:instrText xml:space="preserve"> PAGEREF _Toc113806116 \h </w:instrText>
            </w:r>
            <w:r w:rsidR="00AD4A12">
              <w:rPr>
                <w:noProof/>
                <w:webHidden/>
              </w:rPr>
            </w:r>
            <w:r w:rsidR="00AD4A12">
              <w:rPr>
                <w:noProof/>
                <w:webHidden/>
              </w:rPr>
              <w:fldChar w:fldCharType="separate"/>
            </w:r>
            <w:r w:rsidR="00AD4A12">
              <w:rPr>
                <w:noProof/>
                <w:webHidden/>
              </w:rPr>
              <w:t>32</w:t>
            </w:r>
            <w:r w:rsidR="00AD4A12">
              <w:rPr>
                <w:noProof/>
                <w:webHidden/>
              </w:rPr>
              <w:fldChar w:fldCharType="end"/>
            </w:r>
          </w:hyperlink>
        </w:p>
        <w:p w14:paraId="29F51E82" w14:textId="2E0EC7FA" w:rsidR="00AD4A12" w:rsidRDefault="00000000">
          <w:pPr>
            <w:pStyle w:val="TOC3"/>
            <w:tabs>
              <w:tab w:val="right" w:pos="8210"/>
            </w:tabs>
            <w:rPr>
              <w:rFonts w:asciiTheme="minorHAnsi" w:hAnsiTheme="minorHAnsi" w:cstheme="minorBidi"/>
              <w:noProof/>
              <w:sz w:val="22"/>
              <w:szCs w:val="22"/>
            </w:rPr>
          </w:pPr>
          <w:hyperlink w:anchor="_Toc113806117" w:history="1">
            <w:r w:rsidR="00AD4A12" w:rsidRPr="00570D8A">
              <w:rPr>
                <w:rStyle w:val="Hyperlink"/>
                <w:noProof/>
              </w:rPr>
              <w:t>Stakeholder Theory</w:t>
            </w:r>
            <w:r w:rsidR="00AD4A12">
              <w:rPr>
                <w:noProof/>
                <w:webHidden/>
              </w:rPr>
              <w:tab/>
            </w:r>
            <w:r w:rsidR="00AD4A12">
              <w:rPr>
                <w:noProof/>
                <w:webHidden/>
              </w:rPr>
              <w:fldChar w:fldCharType="begin"/>
            </w:r>
            <w:r w:rsidR="00AD4A12">
              <w:rPr>
                <w:noProof/>
                <w:webHidden/>
              </w:rPr>
              <w:instrText xml:space="preserve"> PAGEREF _Toc113806117 \h </w:instrText>
            </w:r>
            <w:r w:rsidR="00AD4A12">
              <w:rPr>
                <w:noProof/>
                <w:webHidden/>
              </w:rPr>
            </w:r>
            <w:r w:rsidR="00AD4A12">
              <w:rPr>
                <w:noProof/>
                <w:webHidden/>
              </w:rPr>
              <w:fldChar w:fldCharType="separate"/>
            </w:r>
            <w:r w:rsidR="00AD4A12">
              <w:rPr>
                <w:noProof/>
                <w:webHidden/>
              </w:rPr>
              <w:t>33</w:t>
            </w:r>
            <w:r w:rsidR="00AD4A12">
              <w:rPr>
                <w:noProof/>
                <w:webHidden/>
              </w:rPr>
              <w:fldChar w:fldCharType="end"/>
            </w:r>
          </w:hyperlink>
        </w:p>
        <w:p w14:paraId="3BA019DF" w14:textId="5A27D3A8" w:rsidR="00AD4A12" w:rsidRDefault="00000000">
          <w:pPr>
            <w:pStyle w:val="TOC3"/>
            <w:tabs>
              <w:tab w:val="right" w:pos="8210"/>
            </w:tabs>
            <w:rPr>
              <w:rFonts w:asciiTheme="minorHAnsi" w:hAnsiTheme="minorHAnsi" w:cstheme="minorBidi"/>
              <w:noProof/>
              <w:sz w:val="22"/>
              <w:szCs w:val="22"/>
            </w:rPr>
          </w:pPr>
          <w:hyperlink w:anchor="_Toc113806118" w:history="1">
            <w:r w:rsidR="00AD4A12" w:rsidRPr="00570D8A">
              <w:rPr>
                <w:rStyle w:val="Hyperlink"/>
                <w:noProof/>
              </w:rPr>
              <w:t>Signalling Theory</w:t>
            </w:r>
            <w:r w:rsidR="00AD4A12">
              <w:rPr>
                <w:noProof/>
                <w:webHidden/>
              </w:rPr>
              <w:tab/>
            </w:r>
            <w:r w:rsidR="00AD4A12">
              <w:rPr>
                <w:noProof/>
                <w:webHidden/>
              </w:rPr>
              <w:fldChar w:fldCharType="begin"/>
            </w:r>
            <w:r w:rsidR="00AD4A12">
              <w:rPr>
                <w:noProof/>
                <w:webHidden/>
              </w:rPr>
              <w:instrText xml:space="preserve"> PAGEREF _Toc113806118 \h </w:instrText>
            </w:r>
            <w:r w:rsidR="00AD4A12">
              <w:rPr>
                <w:noProof/>
                <w:webHidden/>
              </w:rPr>
            </w:r>
            <w:r w:rsidR="00AD4A12">
              <w:rPr>
                <w:noProof/>
                <w:webHidden/>
              </w:rPr>
              <w:fldChar w:fldCharType="separate"/>
            </w:r>
            <w:r w:rsidR="00AD4A12">
              <w:rPr>
                <w:noProof/>
                <w:webHidden/>
              </w:rPr>
              <w:t>33</w:t>
            </w:r>
            <w:r w:rsidR="00AD4A12">
              <w:rPr>
                <w:noProof/>
                <w:webHidden/>
              </w:rPr>
              <w:fldChar w:fldCharType="end"/>
            </w:r>
          </w:hyperlink>
        </w:p>
        <w:p w14:paraId="080D6625" w14:textId="2190AEB8" w:rsidR="00AD4A12" w:rsidRDefault="00000000">
          <w:pPr>
            <w:pStyle w:val="TOC3"/>
            <w:tabs>
              <w:tab w:val="right" w:pos="8210"/>
            </w:tabs>
            <w:rPr>
              <w:rFonts w:asciiTheme="minorHAnsi" w:hAnsiTheme="minorHAnsi" w:cstheme="minorBidi"/>
              <w:noProof/>
              <w:sz w:val="22"/>
              <w:szCs w:val="22"/>
            </w:rPr>
          </w:pPr>
          <w:hyperlink w:anchor="_Toc113806119" w:history="1">
            <w:r w:rsidR="00AD4A12" w:rsidRPr="00570D8A">
              <w:rPr>
                <w:rStyle w:val="Hyperlink"/>
                <w:noProof/>
              </w:rPr>
              <w:t>Agency Theory</w:t>
            </w:r>
            <w:r w:rsidR="00AD4A12">
              <w:rPr>
                <w:noProof/>
                <w:webHidden/>
              </w:rPr>
              <w:tab/>
            </w:r>
            <w:r w:rsidR="00AD4A12">
              <w:rPr>
                <w:noProof/>
                <w:webHidden/>
              </w:rPr>
              <w:fldChar w:fldCharType="begin"/>
            </w:r>
            <w:r w:rsidR="00AD4A12">
              <w:rPr>
                <w:noProof/>
                <w:webHidden/>
              </w:rPr>
              <w:instrText xml:space="preserve"> PAGEREF _Toc113806119 \h </w:instrText>
            </w:r>
            <w:r w:rsidR="00AD4A12">
              <w:rPr>
                <w:noProof/>
                <w:webHidden/>
              </w:rPr>
            </w:r>
            <w:r w:rsidR="00AD4A12">
              <w:rPr>
                <w:noProof/>
                <w:webHidden/>
              </w:rPr>
              <w:fldChar w:fldCharType="separate"/>
            </w:r>
            <w:r w:rsidR="00AD4A12">
              <w:rPr>
                <w:noProof/>
                <w:webHidden/>
              </w:rPr>
              <w:t>34</w:t>
            </w:r>
            <w:r w:rsidR="00AD4A12">
              <w:rPr>
                <w:noProof/>
                <w:webHidden/>
              </w:rPr>
              <w:fldChar w:fldCharType="end"/>
            </w:r>
          </w:hyperlink>
        </w:p>
        <w:p w14:paraId="05143CA9" w14:textId="6B19680C" w:rsidR="00AD4A12" w:rsidRDefault="00000000">
          <w:pPr>
            <w:pStyle w:val="TOC3"/>
            <w:tabs>
              <w:tab w:val="right" w:pos="8210"/>
            </w:tabs>
            <w:rPr>
              <w:rFonts w:asciiTheme="minorHAnsi" w:hAnsiTheme="minorHAnsi" w:cstheme="minorBidi"/>
              <w:noProof/>
              <w:sz w:val="22"/>
              <w:szCs w:val="22"/>
            </w:rPr>
          </w:pPr>
          <w:hyperlink w:anchor="_Toc113806120" w:history="1">
            <w:r w:rsidR="00AD4A12" w:rsidRPr="00570D8A">
              <w:rPr>
                <w:rStyle w:val="Hyperlink"/>
                <w:noProof/>
              </w:rPr>
              <w:t>Resource Theories</w:t>
            </w:r>
            <w:r w:rsidR="00AD4A12">
              <w:rPr>
                <w:noProof/>
                <w:webHidden/>
              </w:rPr>
              <w:tab/>
            </w:r>
            <w:r w:rsidR="00AD4A12">
              <w:rPr>
                <w:noProof/>
                <w:webHidden/>
              </w:rPr>
              <w:fldChar w:fldCharType="begin"/>
            </w:r>
            <w:r w:rsidR="00AD4A12">
              <w:rPr>
                <w:noProof/>
                <w:webHidden/>
              </w:rPr>
              <w:instrText xml:space="preserve"> PAGEREF _Toc113806120 \h </w:instrText>
            </w:r>
            <w:r w:rsidR="00AD4A12">
              <w:rPr>
                <w:noProof/>
                <w:webHidden/>
              </w:rPr>
            </w:r>
            <w:r w:rsidR="00AD4A12">
              <w:rPr>
                <w:noProof/>
                <w:webHidden/>
              </w:rPr>
              <w:fldChar w:fldCharType="separate"/>
            </w:r>
            <w:r w:rsidR="00AD4A12">
              <w:rPr>
                <w:noProof/>
                <w:webHidden/>
              </w:rPr>
              <w:t>35</w:t>
            </w:r>
            <w:r w:rsidR="00AD4A12">
              <w:rPr>
                <w:noProof/>
                <w:webHidden/>
              </w:rPr>
              <w:fldChar w:fldCharType="end"/>
            </w:r>
          </w:hyperlink>
        </w:p>
        <w:p w14:paraId="7467E11B" w14:textId="28395589" w:rsidR="00AD4A12" w:rsidRDefault="00000000">
          <w:pPr>
            <w:pStyle w:val="TOC2"/>
            <w:tabs>
              <w:tab w:val="right" w:pos="8210"/>
            </w:tabs>
            <w:rPr>
              <w:rFonts w:asciiTheme="minorHAnsi" w:hAnsiTheme="minorHAnsi" w:cstheme="minorBidi"/>
              <w:noProof/>
              <w:sz w:val="22"/>
              <w:szCs w:val="22"/>
            </w:rPr>
          </w:pPr>
          <w:hyperlink w:anchor="_Toc113806121" w:history="1">
            <w:r w:rsidR="00AD4A12" w:rsidRPr="00570D8A">
              <w:rPr>
                <w:rStyle w:val="Hyperlink"/>
                <w:noProof/>
              </w:rPr>
              <w:t>Conceptual Frameworks</w:t>
            </w:r>
            <w:r w:rsidR="00AD4A12">
              <w:rPr>
                <w:noProof/>
                <w:webHidden/>
              </w:rPr>
              <w:tab/>
            </w:r>
            <w:r w:rsidR="00AD4A12">
              <w:rPr>
                <w:noProof/>
                <w:webHidden/>
              </w:rPr>
              <w:fldChar w:fldCharType="begin"/>
            </w:r>
            <w:r w:rsidR="00AD4A12">
              <w:rPr>
                <w:noProof/>
                <w:webHidden/>
              </w:rPr>
              <w:instrText xml:space="preserve"> PAGEREF _Toc113806121 \h </w:instrText>
            </w:r>
            <w:r w:rsidR="00AD4A12">
              <w:rPr>
                <w:noProof/>
                <w:webHidden/>
              </w:rPr>
            </w:r>
            <w:r w:rsidR="00AD4A12">
              <w:rPr>
                <w:noProof/>
                <w:webHidden/>
              </w:rPr>
              <w:fldChar w:fldCharType="separate"/>
            </w:r>
            <w:r w:rsidR="00AD4A12">
              <w:rPr>
                <w:noProof/>
                <w:webHidden/>
              </w:rPr>
              <w:t>36</w:t>
            </w:r>
            <w:r w:rsidR="00AD4A12">
              <w:rPr>
                <w:noProof/>
                <w:webHidden/>
              </w:rPr>
              <w:fldChar w:fldCharType="end"/>
            </w:r>
          </w:hyperlink>
        </w:p>
        <w:p w14:paraId="5033AE1C" w14:textId="75C68306" w:rsidR="00AD4A12" w:rsidRDefault="00000000">
          <w:pPr>
            <w:pStyle w:val="TOC2"/>
            <w:tabs>
              <w:tab w:val="right" w:pos="8210"/>
            </w:tabs>
            <w:rPr>
              <w:rFonts w:asciiTheme="minorHAnsi" w:hAnsiTheme="minorHAnsi" w:cstheme="minorBidi"/>
              <w:noProof/>
              <w:sz w:val="22"/>
              <w:szCs w:val="22"/>
            </w:rPr>
          </w:pPr>
          <w:hyperlink w:anchor="_Toc113806122" w:history="1">
            <w:r w:rsidR="00AD4A12" w:rsidRPr="00570D8A">
              <w:rPr>
                <w:rStyle w:val="Hyperlink"/>
                <w:noProof/>
              </w:rPr>
              <w:t>Factors Considered in Prior Research</w:t>
            </w:r>
            <w:r w:rsidR="00AD4A12">
              <w:rPr>
                <w:noProof/>
                <w:webHidden/>
              </w:rPr>
              <w:tab/>
            </w:r>
            <w:r w:rsidR="00AD4A12">
              <w:rPr>
                <w:noProof/>
                <w:webHidden/>
              </w:rPr>
              <w:fldChar w:fldCharType="begin"/>
            </w:r>
            <w:r w:rsidR="00AD4A12">
              <w:rPr>
                <w:noProof/>
                <w:webHidden/>
              </w:rPr>
              <w:instrText xml:space="preserve"> PAGEREF _Toc113806122 \h </w:instrText>
            </w:r>
            <w:r w:rsidR="00AD4A12">
              <w:rPr>
                <w:noProof/>
                <w:webHidden/>
              </w:rPr>
            </w:r>
            <w:r w:rsidR="00AD4A12">
              <w:rPr>
                <w:noProof/>
                <w:webHidden/>
              </w:rPr>
              <w:fldChar w:fldCharType="separate"/>
            </w:r>
            <w:r w:rsidR="00AD4A12">
              <w:rPr>
                <w:noProof/>
                <w:webHidden/>
              </w:rPr>
              <w:t>37</w:t>
            </w:r>
            <w:r w:rsidR="00AD4A12">
              <w:rPr>
                <w:noProof/>
                <w:webHidden/>
              </w:rPr>
              <w:fldChar w:fldCharType="end"/>
            </w:r>
          </w:hyperlink>
        </w:p>
        <w:p w14:paraId="69AB5830" w14:textId="5A411F51" w:rsidR="00AD4A12" w:rsidRDefault="00000000">
          <w:pPr>
            <w:pStyle w:val="TOC3"/>
            <w:tabs>
              <w:tab w:val="right" w:pos="8210"/>
            </w:tabs>
            <w:rPr>
              <w:rFonts w:asciiTheme="minorHAnsi" w:hAnsiTheme="minorHAnsi" w:cstheme="minorBidi"/>
              <w:noProof/>
              <w:sz w:val="22"/>
              <w:szCs w:val="22"/>
            </w:rPr>
          </w:pPr>
          <w:hyperlink w:anchor="_Toc113806123" w:history="1">
            <w:r w:rsidR="00AD4A12" w:rsidRPr="00570D8A">
              <w:rPr>
                <w:rStyle w:val="Hyperlink"/>
                <w:noProof/>
              </w:rPr>
              <w:t>Dependent Variables</w:t>
            </w:r>
            <w:r w:rsidR="00AD4A12">
              <w:rPr>
                <w:noProof/>
                <w:webHidden/>
              </w:rPr>
              <w:tab/>
            </w:r>
            <w:r w:rsidR="00AD4A12">
              <w:rPr>
                <w:noProof/>
                <w:webHidden/>
              </w:rPr>
              <w:fldChar w:fldCharType="begin"/>
            </w:r>
            <w:r w:rsidR="00AD4A12">
              <w:rPr>
                <w:noProof/>
                <w:webHidden/>
              </w:rPr>
              <w:instrText xml:space="preserve"> PAGEREF _Toc113806123 \h </w:instrText>
            </w:r>
            <w:r w:rsidR="00AD4A12">
              <w:rPr>
                <w:noProof/>
                <w:webHidden/>
              </w:rPr>
            </w:r>
            <w:r w:rsidR="00AD4A12">
              <w:rPr>
                <w:noProof/>
                <w:webHidden/>
              </w:rPr>
              <w:fldChar w:fldCharType="separate"/>
            </w:r>
            <w:r w:rsidR="00AD4A12">
              <w:rPr>
                <w:noProof/>
                <w:webHidden/>
              </w:rPr>
              <w:t>37</w:t>
            </w:r>
            <w:r w:rsidR="00AD4A12">
              <w:rPr>
                <w:noProof/>
                <w:webHidden/>
              </w:rPr>
              <w:fldChar w:fldCharType="end"/>
            </w:r>
          </w:hyperlink>
        </w:p>
        <w:p w14:paraId="6D63187B" w14:textId="459E0F02" w:rsidR="00AD4A12" w:rsidRDefault="00000000">
          <w:pPr>
            <w:pStyle w:val="TOC3"/>
            <w:tabs>
              <w:tab w:val="right" w:pos="8210"/>
            </w:tabs>
            <w:rPr>
              <w:rFonts w:asciiTheme="minorHAnsi" w:hAnsiTheme="minorHAnsi" w:cstheme="minorBidi"/>
              <w:noProof/>
              <w:sz w:val="22"/>
              <w:szCs w:val="22"/>
            </w:rPr>
          </w:pPr>
          <w:hyperlink w:anchor="_Toc113806124" w:history="1">
            <w:r w:rsidR="00AD4A12" w:rsidRPr="00570D8A">
              <w:rPr>
                <w:rStyle w:val="Hyperlink"/>
                <w:noProof/>
              </w:rPr>
              <w:t>Independent Variables</w:t>
            </w:r>
            <w:r w:rsidR="00AD4A12">
              <w:rPr>
                <w:noProof/>
                <w:webHidden/>
              </w:rPr>
              <w:tab/>
            </w:r>
            <w:r w:rsidR="00AD4A12">
              <w:rPr>
                <w:noProof/>
                <w:webHidden/>
              </w:rPr>
              <w:fldChar w:fldCharType="begin"/>
            </w:r>
            <w:r w:rsidR="00AD4A12">
              <w:rPr>
                <w:noProof/>
                <w:webHidden/>
              </w:rPr>
              <w:instrText xml:space="preserve"> PAGEREF _Toc113806124 \h </w:instrText>
            </w:r>
            <w:r w:rsidR="00AD4A12">
              <w:rPr>
                <w:noProof/>
                <w:webHidden/>
              </w:rPr>
            </w:r>
            <w:r w:rsidR="00AD4A12">
              <w:rPr>
                <w:noProof/>
                <w:webHidden/>
              </w:rPr>
              <w:fldChar w:fldCharType="separate"/>
            </w:r>
            <w:r w:rsidR="00AD4A12">
              <w:rPr>
                <w:noProof/>
                <w:webHidden/>
              </w:rPr>
              <w:t>39</w:t>
            </w:r>
            <w:r w:rsidR="00AD4A12">
              <w:rPr>
                <w:noProof/>
                <w:webHidden/>
              </w:rPr>
              <w:fldChar w:fldCharType="end"/>
            </w:r>
          </w:hyperlink>
        </w:p>
        <w:p w14:paraId="0DAF07DE" w14:textId="3D97ECE5" w:rsidR="00AD4A12" w:rsidRDefault="00000000">
          <w:pPr>
            <w:pStyle w:val="TOC2"/>
            <w:tabs>
              <w:tab w:val="right" w:pos="8210"/>
            </w:tabs>
            <w:rPr>
              <w:rFonts w:asciiTheme="minorHAnsi" w:hAnsiTheme="minorHAnsi" w:cstheme="minorBidi"/>
              <w:noProof/>
              <w:sz w:val="22"/>
              <w:szCs w:val="22"/>
            </w:rPr>
          </w:pPr>
          <w:hyperlink w:anchor="_Toc113806125" w:history="1">
            <w:r w:rsidR="00AD4A12" w:rsidRPr="00570D8A">
              <w:rPr>
                <w:rStyle w:val="Hyperlink"/>
                <w:noProof/>
              </w:rPr>
              <w:t>Natural Language Processing (NLP) in Accounting Research</w:t>
            </w:r>
            <w:r w:rsidR="00AD4A12">
              <w:rPr>
                <w:noProof/>
                <w:webHidden/>
              </w:rPr>
              <w:tab/>
            </w:r>
            <w:r w:rsidR="00AD4A12">
              <w:rPr>
                <w:noProof/>
                <w:webHidden/>
              </w:rPr>
              <w:fldChar w:fldCharType="begin"/>
            </w:r>
            <w:r w:rsidR="00AD4A12">
              <w:rPr>
                <w:noProof/>
                <w:webHidden/>
              </w:rPr>
              <w:instrText xml:space="preserve"> PAGEREF _Toc113806125 \h </w:instrText>
            </w:r>
            <w:r w:rsidR="00AD4A12">
              <w:rPr>
                <w:noProof/>
                <w:webHidden/>
              </w:rPr>
            </w:r>
            <w:r w:rsidR="00AD4A12">
              <w:rPr>
                <w:noProof/>
                <w:webHidden/>
              </w:rPr>
              <w:fldChar w:fldCharType="separate"/>
            </w:r>
            <w:r w:rsidR="00AD4A12">
              <w:rPr>
                <w:noProof/>
                <w:webHidden/>
              </w:rPr>
              <w:t>39</w:t>
            </w:r>
            <w:r w:rsidR="00AD4A12">
              <w:rPr>
                <w:noProof/>
                <w:webHidden/>
              </w:rPr>
              <w:fldChar w:fldCharType="end"/>
            </w:r>
          </w:hyperlink>
        </w:p>
        <w:p w14:paraId="0ECD99C1" w14:textId="334624E0" w:rsidR="00AD4A12" w:rsidRDefault="00000000">
          <w:pPr>
            <w:pStyle w:val="TOC2"/>
            <w:tabs>
              <w:tab w:val="right" w:pos="8210"/>
            </w:tabs>
            <w:rPr>
              <w:rFonts w:asciiTheme="minorHAnsi" w:hAnsiTheme="minorHAnsi" w:cstheme="minorBidi"/>
              <w:noProof/>
              <w:sz w:val="22"/>
              <w:szCs w:val="22"/>
            </w:rPr>
          </w:pPr>
          <w:hyperlink w:anchor="_Toc113806126" w:history="1">
            <w:r w:rsidR="00AD4A12" w:rsidRPr="00570D8A">
              <w:rPr>
                <w:rStyle w:val="Hyperlink"/>
                <w:noProof/>
              </w:rPr>
              <w:t>Prior Approaches</w:t>
            </w:r>
            <w:r w:rsidR="00AD4A12">
              <w:rPr>
                <w:noProof/>
                <w:webHidden/>
              </w:rPr>
              <w:tab/>
            </w:r>
            <w:r w:rsidR="00AD4A12">
              <w:rPr>
                <w:noProof/>
                <w:webHidden/>
              </w:rPr>
              <w:fldChar w:fldCharType="begin"/>
            </w:r>
            <w:r w:rsidR="00AD4A12">
              <w:rPr>
                <w:noProof/>
                <w:webHidden/>
              </w:rPr>
              <w:instrText xml:space="preserve"> PAGEREF _Toc113806126 \h </w:instrText>
            </w:r>
            <w:r w:rsidR="00AD4A12">
              <w:rPr>
                <w:noProof/>
                <w:webHidden/>
              </w:rPr>
            </w:r>
            <w:r w:rsidR="00AD4A12">
              <w:rPr>
                <w:noProof/>
                <w:webHidden/>
              </w:rPr>
              <w:fldChar w:fldCharType="separate"/>
            </w:r>
            <w:r w:rsidR="00AD4A12">
              <w:rPr>
                <w:noProof/>
                <w:webHidden/>
              </w:rPr>
              <w:t>46</w:t>
            </w:r>
            <w:r w:rsidR="00AD4A12">
              <w:rPr>
                <w:noProof/>
                <w:webHidden/>
              </w:rPr>
              <w:fldChar w:fldCharType="end"/>
            </w:r>
          </w:hyperlink>
        </w:p>
        <w:p w14:paraId="00904D3F" w14:textId="2C5A0D4C" w:rsidR="00AD4A12" w:rsidRDefault="00000000">
          <w:pPr>
            <w:pStyle w:val="TOC1"/>
            <w:tabs>
              <w:tab w:val="right" w:pos="8210"/>
            </w:tabs>
            <w:rPr>
              <w:rFonts w:asciiTheme="minorHAnsi" w:hAnsiTheme="minorHAnsi" w:cstheme="minorBidi"/>
              <w:noProof/>
              <w:sz w:val="22"/>
              <w:szCs w:val="22"/>
            </w:rPr>
          </w:pPr>
          <w:hyperlink w:anchor="_Toc113806127" w:history="1">
            <w:r w:rsidR="00AD4A12" w:rsidRPr="00570D8A">
              <w:rPr>
                <w:rStyle w:val="Hyperlink"/>
                <w:noProof/>
              </w:rPr>
              <w:t>Methodology</w:t>
            </w:r>
            <w:r w:rsidR="00AD4A12">
              <w:rPr>
                <w:noProof/>
                <w:webHidden/>
              </w:rPr>
              <w:tab/>
            </w:r>
            <w:r w:rsidR="00AD4A12">
              <w:rPr>
                <w:noProof/>
                <w:webHidden/>
              </w:rPr>
              <w:fldChar w:fldCharType="begin"/>
            </w:r>
            <w:r w:rsidR="00AD4A12">
              <w:rPr>
                <w:noProof/>
                <w:webHidden/>
              </w:rPr>
              <w:instrText xml:space="preserve"> PAGEREF _Toc113806127 \h </w:instrText>
            </w:r>
            <w:r w:rsidR="00AD4A12">
              <w:rPr>
                <w:noProof/>
                <w:webHidden/>
              </w:rPr>
            </w:r>
            <w:r w:rsidR="00AD4A12">
              <w:rPr>
                <w:noProof/>
                <w:webHidden/>
              </w:rPr>
              <w:fldChar w:fldCharType="separate"/>
            </w:r>
            <w:r w:rsidR="00AD4A12">
              <w:rPr>
                <w:noProof/>
                <w:webHidden/>
              </w:rPr>
              <w:t>49</w:t>
            </w:r>
            <w:r w:rsidR="00AD4A12">
              <w:rPr>
                <w:noProof/>
                <w:webHidden/>
              </w:rPr>
              <w:fldChar w:fldCharType="end"/>
            </w:r>
          </w:hyperlink>
        </w:p>
        <w:p w14:paraId="3AF00BFB" w14:textId="6FC88A83" w:rsidR="00AD4A12" w:rsidRDefault="00000000">
          <w:pPr>
            <w:pStyle w:val="TOC2"/>
            <w:tabs>
              <w:tab w:val="right" w:pos="8210"/>
            </w:tabs>
            <w:rPr>
              <w:rFonts w:asciiTheme="minorHAnsi" w:hAnsiTheme="minorHAnsi" w:cstheme="minorBidi"/>
              <w:noProof/>
              <w:sz w:val="22"/>
              <w:szCs w:val="22"/>
            </w:rPr>
          </w:pPr>
          <w:hyperlink w:anchor="_Toc113806128" w:history="1">
            <w:r w:rsidR="00AD4A12" w:rsidRPr="00570D8A">
              <w:rPr>
                <w:rStyle w:val="Hyperlink"/>
                <w:noProof/>
              </w:rPr>
              <w:t>Research Questions</w:t>
            </w:r>
            <w:r w:rsidR="00AD4A12">
              <w:rPr>
                <w:noProof/>
                <w:webHidden/>
              </w:rPr>
              <w:tab/>
            </w:r>
            <w:r w:rsidR="00AD4A12">
              <w:rPr>
                <w:noProof/>
                <w:webHidden/>
              </w:rPr>
              <w:fldChar w:fldCharType="begin"/>
            </w:r>
            <w:r w:rsidR="00AD4A12">
              <w:rPr>
                <w:noProof/>
                <w:webHidden/>
              </w:rPr>
              <w:instrText xml:space="preserve"> PAGEREF _Toc113806128 \h </w:instrText>
            </w:r>
            <w:r w:rsidR="00AD4A12">
              <w:rPr>
                <w:noProof/>
                <w:webHidden/>
              </w:rPr>
            </w:r>
            <w:r w:rsidR="00AD4A12">
              <w:rPr>
                <w:noProof/>
                <w:webHidden/>
              </w:rPr>
              <w:fldChar w:fldCharType="separate"/>
            </w:r>
            <w:r w:rsidR="00AD4A12">
              <w:rPr>
                <w:noProof/>
                <w:webHidden/>
              </w:rPr>
              <w:t>49</w:t>
            </w:r>
            <w:r w:rsidR="00AD4A12">
              <w:rPr>
                <w:noProof/>
                <w:webHidden/>
              </w:rPr>
              <w:fldChar w:fldCharType="end"/>
            </w:r>
          </w:hyperlink>
        </w:p>
        <w:p w14:paraId="26086877" w14:textId="406C6675" w:rsidR="00AD4A12" w:rsidRDefault="00000000">
          <w:pPr>
            <w:pStyle w:val="TOC2"/>
            <w:tabs>
              <w:tab w:val="right" w:pos="8210"/>
            </w:tabs>
            <w:rPr>
              <w:rFonts w:asciiTheme="minorHAnsi" w:hAnsiTheme="minorHAnsi" w:cstheme="minorBidi"/>
              <w:noProof/>
              <w:sz w:val="22"/>
              <w:szCs w:val="22"/>
            </w:rPr>
          </w:pPr>
          <w:hyperlink w:anchor="_Toc113806129" w:history="1">
            <w:r w:rsidR="00AD4A12" w:rsidRPr="00570D8A">
              <w:rPr>
                <w:rStyle w:val="Hyperlink"/>
                <w:noProof/>
              </w:rPr>
              <w:t>Sample Description</w:t>
            </w:r>
            <w:r w:rsidR="00AD4A12">
              <w:rPr>
                <w:noProof/>
                <w:webHidden/>
              </w:rPr>
              <w:tab/>
            </w:r>
            <w:r w:rsidR="00AD4A12">
              <w:rPr>
                <w:noProof/>
                <w:webHidden/>
              </w:rPr>
              <w:fldChar w:fldCharType="begin"/>
            </w:r>
            <w:r w:rsidR="00AD4A12">
              <w:rPr>
                <w:noProof/>
                <w:webHidden/>
              </w:rPr>
              <w:instrText xml:space="preserve"> PAGEREF _Toc113806129 \h </w:instrText>
            </w:r>
            <w:r w:rsidR="00AD4A12">
              <w:rPr>
                <w:noProof/>
                <w:webHidden/>
              </w:rPr>
            </w:r>
            <w:r w:rsidR="00AD4A12">
              <w:rPr>
                <w:noProof/>
                <w:webHidden/>
              </w:rPr>
              <w:fldChar w:fldCharType="separate"/>
            </w:r>
            <w:r w:rsidR="00AD4A12">
              <w:rPr>
                <w:noProof/>
                <w:webHidden/>
              </w:rPr>
              <w:t>49</w:t>
            </w:r>
            <w:r w:rsidR="00AD4A12">
              <w:rPr>
                <w:noProof/>
                <w:webHidden/>
              </w:rPr>
              <w:fldChar w:fldCharType="end"/>
            </w:r>
          </w:hyperlink>
        </w:p>
        <w:p w14:paraId="2B9C58BA" w14:textId="715AB357" w:rsidR="00AD4A12" w:rsidRDefault="00000000">
          <w:pPr>
            <w:pStyle w:val="TOC2"/>
            <w:tabs>
              <w:tab w:val="right" w:pos="8210"/>
            </w:tabs>
            <w:rPr>
              <w:rFonts w:asciiTheme="minorHAnsi" w:hAnsiTheme="minorHAnsi" w:cstheme="minorBidi"/>
              <w:noProof/>
              <w:sz w:val="22"/>
              <w:szCs w:val="22"/>
            </w:rPr>
          </w:pPr>
          <w:hyperlink w:anchor="_Toc113806130" w:history="1">
            <w:r w:rsidR="00AD4A12" w:rsidRPr="00570D8A">
              <w:rPr>
                <w:rStyle w:val="Hyperlink"/>
                <w:noProof/>
              </w:rPr>
              <w:t>Data Sources</w:t>
            </w:r>
            <w:r w:rsidR="00AD4A12">
              <w:rPr>
                <w:noProof/>
                <w:webHidden/>
              </w:rPr>
              <w:tab/>
            </w:r>
            <w:r w:rsidR="00AD4A12">
              <w:rPr>
                <w:noProof/>
                <w:webHidden/>
              </w:rPr>
              <w:fldChar w:fldCharType="begin"/>
            </w:r>
            <w:r w:rsidR="00AD4A12">
              <w:rPr>
                <w:noProof/>
                <w:webHidden/>
              </w:rPr>
              <w:instrText xml:space="preserve"> PAGEREF _Toc113806130 \h </w:instrText>
            </w:r>
            <w:r w:rsidR="00AD4A12">
              <w:rPr>
                <w:noProof/>
                <w:webHidden/>
              </w:rPr>
            </w:r>
            <w:r w:rsidR="00AD4A12">
              <w:rPr>
                <w:noProof/>
                <w:webHidden/>
              </w:rPr>
              <w:fldChar w:fldCharType="separate"/>
            </w:r>
            <w:r w:rsidR="00AD4A12">
              <w:rPr>
                <w:noProof/>
                <w:webHidden/>
              </w:rPr>
              <w:t>49</w:t>
            </w:r>
            <w:r w:rsidR="00AD4A12">
              <w:rPr>
                <w:noProof/>
                <w:webHidden/>
              </w:rPr>
              <w:fldChar w:fldCharType="end"/>
            </w:r>
          </w:hyperlink>
        </w:p>
        <w:p w14:paraId="28049397" w14:textId="7CBF0A17" w:rsidR="00AD4A12" w:rsidRDefault="00000000">
          <w:pPr>
            <w:pStyle w:val="TOC2"/>
            <w:tabs>
              <w:tab w:val="right" w:pos="8210"/>
            </w:tabs>
            <w:rPr>
              <w:rFonts w:asciiTheme="minorHAnsi" w:hAnsiTheme="minorHAnsi" w:cstheme="minorBidi"/>
              <w:noProof/>
              <w:sz w:val="22"/>
              <w:szCs w:val="22"/>
            </w:rPr>
          </w:pPr>
          <w:hyperlink w:anchor="_Toc113806131" w:history="1">
            <w:r w:rsidR="00AD4A12" w:rsidRPr="00570D8A">
              <w:rPr>
                <w:rStyle w:val="Hyperlink"/>
                <w:noProof/>
              </w:rPr>
              <w:t>Dependent Variables</w:t>
            </w:r>
            <w:r w:rsidR="00AD4A12">
              <w:rPr>
                <w:noProof/>
                <w:webHidden/>
              </w:rPr>
              <w:tab/>
            </w:r>
            <w:r w:rsidR="00AD4A12">
              <w:rPr>
                <w:noProof/>
                <w:webHidden/>
              </w:rPr>
              <w:fldChar w:fldCharType="begin"/>
            </w:r>
            <w:r w:rsidR="00AD4A12">
              <w:rPr>
                <w:noProof/>
                <w:webHidden/>
              </w:rPr>
              <w:instrText xml:space="preserve"> PAGEREF _Toc113806131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529ECE4A" w14:textId="77FA009A" w:rsidR="00AD4A12" w:rsidRDefault="00000000">
          <w:pPr>
            <w:pStyle w:val="TOC2"/>
            <w:tabs>
              <w:tab w:val="right" w:pos="8210"/>
            </w:tabs>
            <w:rPr>
              <w:rFonts w:asciiTheme="minorHAnsi" w:hAnsiTheme="minorHAnsi" w:cstheme="minorBidi"/>
              <w:noProof/>
              <w:sz w:val="22"/>
              <w:szCs w:val="22"/>
            </w:rPr>
          </w:pPr>
          <w:hyperlink w:anchor="_Toc113806132" w:history="1">
            <w:r w:rsidR="00AD4A12" w:rsidRPr="00570D8A">
              <w:rPr>
                <w:rStyle w:val="Hyperlink"/>
                <w:noProof/>
              </w:rPr>
              <w:t>Independent Variables</w:t>
            </w:r>
            <w:r w:rsidR="00AD4A12">
              <w:rPr>
                <w:noProof/>
                <w:webHidden/>
              </w:rPr>
              <w:tab/>
            </w:r>
            <w:r w:rsidR="00AD4A12">
              <w:rPr>
                <w:noProof/>
                <w:webHidden/>
              </w:rPr>
              <w:fldChar w:fldCharType="begin"/>
            </w:r>
            <w:r w:rsidR="00AD4A12">
              <w:rPr>
                <w:noProof/>
                <w:webHidden/>
              </w:rPr>
              <w:instrText xml:space="preserve"> PAGEREF _Toc113806132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315CBCD5" w14:textId="3ED1C85F" w:rsidR="00AD4A12" w:rsidRDefault="00000000">
          <w:pPr>
            <w:pStyle w:val="TOC2"/>
            <w:tabs>
              <w:tab w:val="right" w:pos="8210"/>
            </w:tabs>
            <w:rPr>
              <w:rFonts w:asciiTheme="minorHAnsi" w:hAnsiTheme="minorHAnsi" w:cstheme="minorBidi"/>
              <w:noProof/>
              <w:sz w:val="22"/>
              <w:szCs w:val="22"/>
            </w:rPr>
          </w:pPr>
          <w:hyperlink w:anchor="_Toc113806133" w:history="1">
            <w:r w:rsidR="00AD4A12" w:rsidRPr="00570D8A">
              <w:rPr>
                <w:rStyle w:val="Hyperlink"/>
                <w:noProof/>
              </w:rPr>
              <w:t>Tokenisation</w:t>
            </w:r>
            <w:r w:rsidR="00AD4A12">
              <w:rPr>
                <w:noProof/>
                <w:webHidden/>
              </w:rPr>
              <w:tab/>
            </w:r>
            <w:r w:rsidR="00AD4A12">
              <w:rPr>
                <w:noProof/>
                <w:webHidden/>
              </w:rPr>
              <w:fldChar w:fldCharType="begin"/>
            </w:r>
            <w:r w:rsidR="00AD4A12">
              <w:rPr>
                <w:noProof/>
                <w:webHidden/>
              </w:rPr>
              <w:instrText xml:space="preserve"> PAGEREF _Toc113806133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4DC509F3" w14:textId="048CD700" w:rsidR="00AD4A12" w:rsidRDefault="00000000">
          <w:pPr>
            <w:pStyle w:val="TOC2"/>
            <w:tabs>
              <w:tab w:val="right" w:pos="8210"/>
            </w:tabs>
            <w:rPr>
              <w:rFonts w:asciiTheme="minorHAnsi" w:hAnsiTheme="minorHAnsi" w:cstheme="minorBidi"/>
              <w:noProof/>
              <w:sz w:val="22"/>
              <w:szCs w:val="22"/>
            </w:rPr>
          </w:pPr>
          <w:hyperlink w:anchor="_Toc113806134" w:history="1">
            <w:r w:rsidR="00AD4A12" w:rsidRPr="00570D8A">
              <w:rPr>
                <w:rStyle w:val="Hyperlink"/>
                <w:noProof/>
              </w:rPr>
              <w:t>Latent Dirichlet Allocation</w:t>
            </w:r>
            <w:r w:rsidR="00AD4A12">
              <w:rPr>
                <w:noProof/>
                <w:webHidden/>
              </w:rPr>
              <w:tab/>
            </w:r>
            <w:r w:rsidR="00AD4A12">
              <w:rPr>
                <w:noProof/>
                <w:webHidden/>
              </w:rPr>
              <w:fldChar w:fldCharType="begin"/>
            </w:r>
            <w:r w:rsidR="00AD4A12">
              <w:rPr>
                <w:noProof/>
                <w:webHidden/>
              </w:rPr>
              <w:instrText xml:space="preserve"> PAGEREF _Toc113806134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1B1B8F90" w14:textId="16FAFE09" w:rsidR="00AD4A12" w:rsidRDefault="00000000">
          <w:pPr>
            <w:pStyle w:val="TOC2"/>
            <w:tabs>
              <w:tab w:val="right" w:pos="8210"/>
            </w:tabs>
            <w:rPr>
              <w:rFonts w:asciiTheme="minorHAnsi" w:hAnsiTheme="minorHAnsi" w:cstheme="minorBidi"/>
              <w:noProof/>
              <w:sz w:val="22"/>
              <w:szCs w:val="22"/>
            </w:rPr>
          </w:pPr>
          <w:hyperlink w:anchor="_Toc113806135" w:history="1">
            <w:r w:rsidR="00AD4A12" w:rsidRPr="00570D8A">
              <w:rPr>
                <w:rStyle w:val="Hyperlink"/>
                <w:noProof/>
              </w:rPr>
              <w:t>Text Readability</w:t>
            </w:r>
            <w:r w:rsidR="00AD4A12">
              <w:rPr>
                <w:noProof/>
                <w:webHidden/>
              </w:rPr>
              <w:tab/>
            </w:r>
            <w:r w:rsidR="00AD4A12">
              <w:rPr>
                <w:noProof/>
                <w:webHidden/>
              </w:rPr>
              <w:fldChar w:fldCharType="begin"/>
            </w:r>
            <w:r w:rsidR="00AD4A12">
              <w:rPr>
                <w:noProof/>
                <w:webHidden/>
              </w:rPr>
              <w:instrText xml:space="preserve"> PAGEREF _Toc113806135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0B5F4A74" w14:textId="79C1EA3A" w:rsidR="00AD4A12" w:rsidRDefault="00000000">
          <w:pPr>
            <w:pStyle w:val="TOC2"/>
            <w:tabs>
              <w:tab w:val="right" w:pos="8210"/>
            </w:tabs>
            <w:rPr>
              <w:rFonts w:asciiTheme="minorHAnsi" w:hAnsiTheme="minorHAnsi" w:cstheme="minorBidi"/>
              <w:noProof/>
              <w:sz w:val="22"/>
              <w:szCs w:val="22"/>
            </w:rPr>
          </w:pPr>
          <w:hyperlink w:anchor="_Toc113806136" w:history="1">
            <w:r w:rsidR="00AD4A12" w:rsidRPr="00570D8A">
              <w:rPr>
                <w:rStyle w:val="Hyperlink"/>
                <w:noProof/>
              </w:rPr>
              <w:t>Models and Approach</w:t>
            </w:r>
            <w:r w:rsidR="00AD4A12">
              <w:rPr>
                <w:noProof/>
                <w:webHidden/>
              </w:rPr>
              <w:tab/>
            </w:r>
            <w:r w:rsidR="00AD4A12">
              <w:rPr>
                <w:noProof/>
                <w:webHidden/>
              </w:rPr>
              <w:fldChar w:fldCharType="begin"/>
            </w:r>
            <w:r w:rsidR="00AD4A12">
              <w:rPr>
                <w:noProof/>
                <w:webHidden/>
              </w:rPr>
              <w:instrText xml:space="preserve"> PAGEREF _Toc113806136 \h </w:instrText>
            </w:r>
            <w:r w:rsidR="00AD4A12">
              <w:rPr>
                <w:noProof/>
                <w:webHidden/>
              </w:rPr>
            </w:r>
            <w:r w:rsidR="00AD4A12">
              <w:rPr>
                <w:noProof/>
                <w:webHidden/>
              </w:rPr>
              <w:fldChar w:fldCharType="separate"/>
            </w:r>
            <w:r w:rsidR="00AD4A12">
              <w:rPr>
                <w:noProof/>
                <w:webHidden/>
              </w:rPr>
              <w:t>50</w:t>
            </w:r>
            <w:r w:rsidR="00AD4A12">
              <w:rPr>
                <w:noProof/>
                <w:webHidden/>
              </w:rPr>
              <w:fldChar w:fldCharType="end"/>
            </w:r>
          </w:hyperlink>
        </w:p>
        <w:p w14:paraId="61B7EE06" w14:textId="3A40E75E" w:rsidR="00AD4A12" w:rsidRDefault="00000000">
          <w:pPr>
            <w:pStyle w:val="TOC1"/>
            <w:tabs>
              <w:tab w:val="right" w:pos="8210"/>
            </w:tabs>
            <w:rPr>
              <w:rFonts w:asciiTheme="minorHAnsi" w:hAnsiTheme="minorHAnsi" w:cstheme="minorBidi"/>
              <w:noProof/>
              <w:sz w:val="22"/>
              <w:szCs w:val="22"/>
            </w:rPr>
          </w:pPr>
          <w:hyperlink w:anchor="_Toc113806137" w:history="1">
            <w:r w:rsidR="00AD4A12" w:rsidRPr="00570D8A">
              <w:rPr>
                <w:rStyle w:val="Hyperlink"/>
                <w:noProof/>
              </w:rPr>
              <w:t>Discussion and Results</w:t>
            </w:r>
            <w:r w:rsidR="00AD4A12">
              <w:rPr>
                <w:noProof/>
                <w:webHidden/>
              </w:rPr>
              <w:tab/>
            </w:r>
            <w:r w:rsidR="00AD4A12">
              <w:rPr>
                <w:noProof/>
                <w:webHidden/>
              </w:rPr>
              <w:fldChar w:fldCharType="begin"/>
            </w:r>
            <w:r w:rsidR="00AD4A12">
              <w:rPr>
                <w:noProof/>
                <w:webHidden/>
              </w:rPr>
              <w:instrText xml:space="preserve"> PAGEREF _Toc113806137 \h </w:instrText>
            </w:r>
            <w:r w:rsidR="00AD4A12">
              <w:rPr>
                <w:noProof/>
                <w:webHidden/>
              </w:rPr>
            </w:r>
            <w:r w:rsidR="00AD4A12">
              <w:rPr>
                <w:noProof/>
                <w:webHidden/>
              </w:rPr>
              <w:fldChar w:fldCharType="separate"/>
            </w:r>
            <w:r w:rsidR="00AD4A12">
              <w:rPr>
                <w:noProof/>
                <w:webHidden/>
              </w:rPr>
              <w:t>51</w:t>
            </w:r>
            <w:r w:rsidR="00AD4A12">
              <w:rPr>
                <w:noProof/>
                <w:webHidden/>
              </w:rPr>
              <w:fldChar w:fldCharType="end"/>
            </w:r>
          </w:hyperlink>
        </w:p>
        <w:p w14:paraId="68334A9F" w14:textId="32205A32" w:rsidR="00AD4A12" w:rsidRDefault="00000000">
          <w:pPr>
            <w:pStyle w:val="TOC2"/>
            <w:tabs>
              <w:tab w:val="right" w:pos="8210"/>
            </w:tabs>
            <w:rPr>
              <w:rFonts w:asciiTheme="minorHAnsi" w:hAnsiTheme="minorHAnsi" w:cstheme="minorBidi"/>
              <w:noProof/>
              <w:sz w:val="22"/>
              <w:szCs w:val="22"/>
            </w:rPr>
          </w:pPr>
          <w:hyperlink w:anchor="_Toc113806138" w:history="1">
            <w:r w:rsidR="00AD4A12" w:rsidRPr="00570D8A">
              <w:rPr>
                <w:rStyle w:val="Hyperlink"/>
                <w:noProof/>
              </w:rPr>
              <w:t>Data Exploration</w:t>
            </w:r>
            <w:r w:rsidR="00AD4A12">
              <w:rPr>
                <w:noProof/>
                <w:webHidden/>
              </w:rPr>
              <w:tab/>
            </w:r>
            <w:r w:rsidR="00AD4A12">
              <w:rPr>
                <w:noProof/>
                <w:webHidden/>
              </w:rPr>
              <w:fldChar w:fldCharType="begin"/>
            </w:r>
            <w:r w:rsidR="00AD4A12">
              <w:rPr>
                <w:noProof/>
                <w:webHidden/>
              </w:rPr>
              <w:instrText xml:space="preserve"> PAGEREF _Toc113806138 \h </w:instrText>
            </w:r>
            <w:r w:rsidR="00AD4A12">
              <w:rPr>
                <w:noProof/>
                <w:webHidden/>
              </w:rPr>
            </w:r>
            <w:r w:rsidR="00AD4A12">
              <w:rPr>
                <w:noProof/>
                <w:webHidden/>
              </w:rPr>
              <w:fldChar w:fldCharType="separate"/>
            </w:r>
            <w:r w:rsidR="00AD4A12">
              <w:rPr>
                <w:noProof/>
                <w:webHidden/>
              </w:rPr>
              <w:t>51</w:t>
            </w:r>
            <w:r w:rsidR="00AD4A12">
              <w:rPr>
                <w:noProof/>
                <w:webHidden/>
              </w:rPr>
              <w:fldChar w:fldCharType="end"/>
            </w:r>
          </w:hyperlink>
        </w:p>
        <w:p w14:paraId="12C2ABED" w14:textId="6B65973A" w:rsidR="00AD4A12" w:rsidRDefault="00000000">
          <w:pPr>
            <w:pStyle w:val="TOC2"/>
            <w:tabs>
              <w:tab w:val="right" w:pos="8210"/>
            </w:tabs>
            <w:rPr>
              <w:rFonts w:asciiTheme="minorHAnsi" w:hAnsiTheme="minorHAnsi" w:cstheme="minorBidi"/>
              <w:noProof/>
              <w:sz w:val="22"/>
              <w:szCs w:val="22"/>
            </w:rPr>
          </w:pPr>
          <w:hyperlink w:anchor="_Toc113806139" w:history="1">
            <w:r w:rsidR="00AD4A12" w:rsidRPr="00570D8A">
              <w:rPr>
                <w:rStyle w:val="Hyperlink"/>
                <w:noProof/>
              </w:rPr>
              <w:t>Data Processing and Cleaning</w:t>
            </w:r>
            <w:r w:rsidR="00AD4A12">
              <w:rPr>
                <w:noProof/>
                <w:webHidden/>
              </w:rPr>
              <w:tab/>
            </w:r>
            <w:r w:rsidR="00AD4A12">
              <w:rPr>
                <w:noProof/>
                <w:webHidden/>
              </w:rPr>
              <w:fldChar w:fldCharType="begin"/>
            </w:r>
            <w:r w:rsidR="00AD4A12">
              <w:rPr>
                <w:noProof/>
                <w:webHidden/>
              </w:rPr>
              <w:instrText xml:space="preserve"> PAGEREF _Toc113806139 \h </w:instrText>
            </w:r>
            <w:r w:rsidR="00AD4A12">
              <w:rPr>
                <w:noProof/>
                <w:webHidden/>
              </w:rPr>
            </w:r>
            <w:r w:rsidR="00AD4A12">
              <w:rPr>
                <w:noProof/>
                <w:webHidden/>
              </w:rPr>
              <w:fldChar w:fldCharType="separate"/>
            </w:r>
            <w:r w:rsidR="00AD4A12">
              <w:rPr>
                <w:noProof/>
                <w:webHidden/>
              </w:rPr>
              <w:t>51</w:t>
            </w:r>
            <w:r w:rsidR="00AD4A12">
              <w:rPr>
                <w:noProof/>
                <w:webHidden/>
              </w:rPr>
              <w:fldChar w:fldCharType="end"/>
            </w:r>
          </w:hyperlink>
        </w:p>
        <w:p w14:paraId="514A67BB" w14:textId="2D7BAE75" w:rsidR="00AD4A12" w:rsidRDefault="00000000">
          <w:pPr>
            <w:pStyle w:val="TOC2"/>
            <w:tabs>
              <w:tab w:val="right" w:pos="8210"/>
            </w:tabs>
            <w:rPr>
              <w:rFonts w:asciiTheme="minorHAnsi" w:hAnsiTheme="minorHAnsi" w:cstheme="minorBidi"/>
              <w:noProof/>
              <w:sz w:val="22"/>
              <w:szCs w:val="22"/>
            </w:rPr>
          </w:pPr>
          <w:hyperlink w:anchor="_Toc113806140" w:history="1">
            <w:r w:rsidR="00AD4A12" w:rsidRPr="00570D8A">
              <w:rPr>
                <w:rStyle w:val="Hyperlink"/>
                <w:noProof/>
              </w:rPr>
              <w:t>Interpreting Regression Results</w:t>
            </w:r>
            <w:r w:rsidR="00AD4A12">
              <w:rPr>
                <w:noProof/>
                <w:webHidden/>
              </w:rPr>
              <w:tab/>
            </w:r>
            <w:r w:rsidR="00AD4A12">
              <w:rPr>
                <w:noProof/>
                <w:webHidden/>
              </w:rPr>
              <w:fldChar w:fldCharType="begin"/>
            </w:r>
            <w:r w:rsidR="00AD4A12">
              <w:rPr>
                <w:noProof/>
                <w:webHidden/>
              </w:rPr>
              <w:instrText xml:space="preserve"> PAGEREF _Toc113806140 \h </w:instrText>
            </w:r>
            <w:r w:rsidR="00AD4A12">
              <w:rPr>
                <w:noProof/>
                <w:webHidden/>
              </w:rPr>
            </w:r>
            <w:r w:rsidR="00AD4A12">
              <w:rPr>
                <w:noProof/>
                <w:webHidden/>
              </w:rPr>
              <w:fldChar w:fldCharType="separate"/>
            </w:r>
            <w:r w:rsidR="00AD4A12">
              <w:rPr>
                <w:noProof/>
                <w:webHidden/>
              </w:rPr>
              <w:t>51</w:t>
            </w:r>
            <w:r w:rsidR="00AD4A12">
              <w:rPr>
                <w:noProof/>
                <w:webHidden/>
              </w:rPr>
              <w:fldChar w:fldCharType="end"/>
            </w:r>
          </w:hyperlink>
        </w:p>
        <w:p w14:paraId="2E7A5976" w14:textId="4F96A00D" w:rsidR="00AD4A12" w:rsidRDefault="00000000">
          <w:pPr>
            <w:pStyle w:val="TOC1"/>
            <w:tabs>
              <w:tab w:val="right" w:pos="8210"/>
            </w:tabs>
            <w:rPr>
              <w:rFonts w:asciiTheme="minorHAnsi" w:hAnsiTheme="minorHAnsi" w:cstheme="minorBidi"/>
              <w:noProof/>
              <w:sz w:val="22"/>
              <w:szCs w:val="22"/>
            </w:rPr>
          </w:pPr>
          <w:hyperlink w:anchor="_Toc113806141" w:history="1">
            <w:r w:rsidR="00AD4A12" w:rsidRPr="00570D8A">
              <w:rPr>
                <w:rStyle w:val="Hyperlink"/>
                <w:noProof/>
              </w:rPr>
              <w:t>Conclusion</w:t>
            </w:r>
            <w:r w:rsidR="00AD4A12">
              <w:rPr>
                <w:noProof/>
                <w:webHidden/>
              </w:rPr>
              <w:tab/>
            </w:r>
            <w:r w:rsidR="00AD4A12">
              <w:rPr>
                <w:noProof/>
                <w:webHidden/>
              </w:rPr>
              <w:fldChar w:fldCharType="begin"/>
            </w:r>
            <w:r w:rsidR="00AD4A12">
              <w:rPr>
                <w:noProof/>
                <w:webHidden/>
              </w:rPr>
              <w:instrText xml:space="preserve"> PAGEREF _Toc113806141 \h </w:instrText>
            </w:r>
            <w:r w:rsidR="00AD4A12">
              <w:rPr>
                <w:noProof/>
                <w:webHidden/>
              </w:rPr>
            </w:r>
            <w:r w:rsidR="00AD4A12">
              <w:rPr>
                <w:noProof/>
                <w:webHidden/>
              </w:rPr>
              <w:fldChar w:fldCharType="separate"/>
            </w:r>
            <w:r w:rsidR="00AD4A12">
              <w:rPr>
                <w:noProof/>
                <w:webHidden/>
              </w:rPr>
              <w:t>52</w:t>
            </w:r>
            <w:r w:rsidR="00AD4A12">
              <w:rPr>
                <w:noProof/>
                <w:webHidden/>
              </w:rPr>
              <w:fldChar w:fldCharType="end"/>
            </w:r>
          </w:hyperlink>
        </w:p>
        <w:p w14:paraId="26C6C641" w14:textId="26DE4893" w:rsidR="00AD4A12" w:rsidRDefault="00000000">
          <w:pPr>
            <w:pStyle w:val="TOC2"/>
            <w:tabs>
              <w:tab w:val="right" w:pos="8210"/>
            </w:tabs>
            <w:rPr>
              <w:rFonts w:asciiTheme="minorHAnsi" w:hAnsiTheme="minorHAnsi" w:cstheme="minorBidi"/>
              <w:noProof/>
              <w:sz w:val="22"/>
              <w:szCs w:val="22"/>
            </w:rPr>
          </w:pPr>
          <w:hyperlink w:anchor="_Toc113806142" w:history="1">
            <w:r w:rsidR="00AD4A12" w:rsidRPr="00570D8A">
              <w:rPr>
                <w:rStyle w:val="Hyperlink"/>
                <w:noProof/>
              </w:rPr>
              <w:t>Limitations</w:t>
            </w:r>
            <w:r w:rsidR="00AD4A12">
              <w:rPr>
                <w:noProof/>
                <w:webHidden/>
              </w:rPr>
              <w:tab/>
            </w:r>
            <w:r w:rsidR="00AD4A12">
              <w:rPr>
                <w:noProof/>
                <w:webHidden/>
              </w:rPr>
              <w:fldChar w:fldCharType="begin"/>
            </w:r>
            <w:r w:rsidR="00AD4A12">
              <w:rPr>
                <w:noProof/>
                <w:webHidden/>
              </w:rPr>
              <w:instrText xml:space="preserve"> PAGEREF _Toc113806142 \h </w:instrText>
            </w:r>
            <w:r w:rsidR="00AD4A12">
              <w:rPr>
                <w:noProof/>
                <w:webHidden/>
              </w:rPr>
            </w:r>
            <w:r w:rsidR="00AD4A12">
              <w:rPr>
                <w:noProof/>
                <w:webHidden/>
              </w:rPr>
              <w:fldChar w:fldCharType="separate"/>
            </w:r>
            <w:r w:rsidR="00AD4A12">
              <w:rPr>
                <w:noProof/>
                <w:webHidden/>
              </w:rPr>
              <w:t>52</w:t>
            </w:r>
            <w:r w:rsidR="00AD4A12">
              <w:rPr>
                <w:noProof/>
                <w:webHidden/>
              </w:rPr>
              <w:fldChar w:fldCharType="end"/>
            </w:r>
          </w:hyperlink>
        </w:p>
        <w:p w14:paraId="32B082E8" w14:textId="5DA09701" w:rsidR="00AD4A12" w:rsidRDefault="00000000">
          <w:pPr>
            <w:pStyle w:val="TOC2"/>
            <w:tabs>
              <w:tab w:val="right" w:pos="8210"/>
            </w:tabs>
            <w:rPr>
              <w:rFonts w:asciiTheme="minorHAnsi" w:hAnsiTheme="minorHAnsi" w:cstheme="minorBidi"/>
              <w:noProof/>
              <w:sz w:val="22"/>
              <w:szCs w:val="22"/>
            </w:rPr>
          </w:pPr>
          <w:hyperlink w:anchor="_Toc113806143" w:history="1">
            <w:r w:rsidR="00AD4A12" w:rsidRPr="00570D8A">
              <w:rPr>
                <w:rStyle w:val="Hyperlink"/>
                <w:noProof/>
              </w:rPr>
              <w:t>Future Studies</w:t>
            </w:r>
            <w:r w:rsidR="00AD4A12">
              <w:rPr>
                <w:noProof/>
                <w:webHidden/>
              </w:rPr>
              <w:tab/>
            </w:r>
            <w:r w:rsidR="00AD4A12">
              <w:rPr>
                <w:noProof/>
                <w:webHidden/>
              </w:rPr>
              <w:fldChar w:fldCharType="begin"/>
            </w:r>
            <w:r w:rsidR="00AD4A12">
              <w:rPr>
                <w:noProof/>
                <w:webHidden/>
              </w:rPr>
              <w:instrText xml:space="preserve"> PAGEREF _Toc113806143 \h </w:instrText>
            </w:r>
            <w:r w:rsidR="00AD4A12">
              <w:rPr>
                <w:noProof/>
                <w:webHidden/>
              </w:rPr>
            </w:r>
            <w:r w:rsidR="00AD4A12">
              <w:rPr>
                <w:noProof/>
                <w:webHidden/>
              </w:rPr>
              <w:fldChar w:fldCharType="separate"/>
            </w:r>
            <w:r w:rsidR="00AD4A12">
              <w:rPr>
                <w:noProof/>
                <w:webHidden/>
              </w:rPr>
              <w:t>52</w:t>
            </w:r>
            <w:r w:rsidR="00AD4A12">
              <w:rPr>
                <w:noProof/>
                <w:webHidden/>
              </w:rPr>
              <w:fldChar w:fldCharType="end"/>
            </w:r>
          </w:hyperlink>
        </w:p>
        <w:p w14:paraId="389AC936" w14:textId="4EA40894" w:rsidR="00AD4A12" w:rsidRDefault="00000000">
          <w:pPr>
            <w:pStyle w:val="TOC1"/>
            <w:tabs>
              <w:tab w:val="right" w:pos="8210"/>
            </w:tabs>
            <w:rPr>
              <w:rFonts w:asciiTheme="minorHAnsi" w:hAnsiTheme="minorHAnsi" w:cstheme="minorBidi"/>
              <w:noProof/>
              <w:sz w:val="22"/>
              <w:szCs w:val="22"/>
            </w:rPr>
          </w:pPr>
          <w:hyperlink w:anchor="_Toc113806144" w:history="1">
            <w:r w:rsidR="00AD4A12" w:rsidRPr="00570D8A">
              <w:rPr>
                <w:rStyle w:val="Hyperlink"/>
                <w:noProof/>
              </w:rPr>
              <w:t>References</w:t>
            </w:r>
            <w:r w:rsidR="00AD4A12">
              <w:rPr>
                <w:noProof/>
                <w:webHidden/>
              </w:rPr>
              <w:tab/>
            </w:r>
            <w:r w:rsidR="00AD4A12">
              <w:rPr>
                <w:noProof/>
                <w:webHidden/>
              </w:rPr>
              <w:fldChar w:fldCharType="begin"/>
            </w:r>
            <w:r w:rsidR="00AD4A12">
              <w:rPr>
                <w:noProof/>
                <w:webHidden/>
              </w:rPr>
              <w:instrText xml:space="preserve"> PAGEREF _Toc113806144 \h </w:instrText>
            </w:r>
            <w:r w:rsidR="00AD4A12">
              <w:rPr>
                <w:noProof/>
                <w:webHidden/>
              </w:rPr>
            </w:r>
            <w:r w:rsidR="00AD4A12">
              <w:rPr>
                <w:noProof/>
                <w:webHidden/>
              </w:rPr>
              <w:fldChar w:fldCharType="separate"/>
            </w:r>
            <w:r w:rsidR="00AD4A12">
              <w:rPr>
                <w:noProof/>
                <w:webHidden/>
              </w:rPr>
              <w:t>53</w:t>
            </w:r>
            <w:r w:rsidR="00AD4A12">
              <w:rPr>
                <w:noProof/>
                <w:webHidden/>
              </w:rPr>
              <w:fldChar w:fldCharType="end"/>
            </w:r>
          </w:hyperlink>
        </w:p>
        <w:p w14:paraId="23CF3FF0" w14:textId="2525E8AC" w:rsidR="00711E5D" w:rsidRDefault="00711E5D">
          <w:r>
            <w:rPr>
              <w:b/>
              <w:bCs/>
              <w:noProof/>
            </w:rPr>
            <w:fldChar w:fldCharType="end"/>
          </w:r>
        </w:p>
      </w:sdtContent>
    </w:sdt>
    <w:p w14:paraId="017CEB33" w14:textId="613B7833" w:rsidR="0051095B" w:rsidRPr="0051095B" w:rsidRDefault="0051095B" w:rsidP="0051095B"/>
    <w:p w14:paraId="1E04B91D" w14:textId="363E6161" w:rsidR="00835CFC" w:rsidRDefault="00835CFC" w:rsidP="00835CFC">
      <w:r>
        <w:br w:type="page"/>
      </w:r>
    </w:p>
    <w:p w14:paraId="2FF325D6" w14:textId="797BEA98" w:rsidR="00711E5D" w:rsidRDefault="00711E5D" w:rsidP="00711E5D">
      <w:pPr>
        <w:pStyle w:val="Heading1"/>
      </w:pPr>
      <w:bookmarkStart w:id="2" w:name="_Toc113806096"/>
      <w:r>
        <w:lastRenderedPageBreak/>
        <w:t>Table of Figures</w:t>
      </w:r>
      <w:bookmarkEnd w:id="2"/>
    </w:p>
    <w:p w14:paraId="61D32E90" w14:textId="35F65587" w:rsidR="00410767" w:rsidRDefault="00410767" w:rsidP="00410767"/>
    <w:p w14:paraId="0EFE4496" w14:textId="25A84702" w:rsidR="00A81961" w:rsidRDefault="00410767" w:rsidP="00F931FF">
      <w:pPr>
        <w:pStyle w:val="TableofFigures"/>
        <w:tabs>
          <w:tab w:val="right" w:pos="8210"/>
        </w:tabs>
        <w:spacing w:after="240"/>
        <w:rPr>
          <w:rFonts w:asciiTheme="minorHAnsi" w:hAnsiTheme="minorHAnsi" w:cstheme="minorBidi"/>
          <w:noProof/>
          <w:sz w:val="22"/>
          <w:szCs w:val="22"/>
        </w:rPr>
      </w:pPr>
      <w:r>
        <w:fldChar w:fldCharType="begin"/>
      </w:r>
      <w:r>
        <w:instrText xml:space="preserve"> TOC \c "Table" </w:instrText>
      </w:r>
      <w:r>
        <w:fldChar w:fldCharType="separate"/>
      </w:r>
      <w:r w:rsidR="00A81961">
        <w:rPr>
          <w:noProof/>
        </w:rPr>
        <w:t>Table 1: Dimensions of the SDGs proposed in Kang and Kim (2022)</w:t>
      </w:r>
      <w:r w:rsidR="00A81961">
        <w:rPr>
          <w:noProof/>
        </w:rPr>
        <w:tab/>
      </w:r>
      <w:r w:rsidR="00A81961">
        <w:rPr>
          <w:noProof/>
        </w:rPr>
        <w:fldChar w:fldCharType="begin"/>
      </w:r>
      <w:r w:rsidR="00A81961">
        <w:rPr>
          <w:noProof/>
        </w:rPr>
        <w:instrText xml:space="preserve"> PAGEREF _Toc113478447 \h </w:instrText>
      </w:r>
      <w:r w:rsidR="00A81961">
        <w:rPr>
          <w:noProof/>
        </w:rPr>
      </w:r>
      <w:r w:rsidR="00A81961">
        <w:rPr>
          <w:noProof/>
        </w:rPr>
        <w:fldChar w:fldCharType="separate"/>
      </w:r>
      <w:r w:rsidR="00A81961">
        <w:rPr>
          <w:noProof/>
        </w:rPr>
        <w:t>6</w:t>
      </w:r>
      <w:r w:rsidR="00A81961">
        <w:rPr>
          <w:noProof/>
        </w:rPr>
        <w:fldChar w:fldCharType="end"/>
      </w:r>
    </w:p>
    <w:p w14:paraId="12D2B3D2" w14:textId="77777777" w:rsidR="0008552A" w:rsidRDefault="00410767" w:rsidP="00F931FF">
      <w:pPr>
        <w:spacing w:after="240"/>
        <w:rPr>
          <w:noProof/>
        </w:rPr>
      </w:pPr>
      <w:r>
        <w:fldChar w:fldCharType="end"/>
      </w:r>
      <w:r w:rsidR="00711E5D" w:rsidRPr="00711E5D">
        <w:fldChar w:fldCharType="begin"/>
      </w:r>
      <w:r w:rsidR="00711E5D" w:rsidRPr="00711E5D">
        <w:instrText xml:space="preserve"> TOC \c "Figure" </w:instrText>
      </w:r>
      <w:r w:rsidR="00711E5D" w:rsidRPr="00711E5D">
        <w:fldChar w:fldCharType="separate"/>
      </w:r>
    </w:p>
    <w:p w14:paraId="38492BF2" w14:textId="5519B873" w:rsidR="0008552A" w:rsidRDefault="0008552A">
      <w:pPr>
        <w:pStyle w:val="TableofFigures"/>
        <w:tabs>
          <w:tab w:val="right" w:leader="dot" w:pos="8210"/>
        </w:tabs>
        <w:rPr>
          <w:rFonts w:asciiTheme="minorHAnsi" w:hAnsiTheme="minorHAnsi" w:cstheme="minorBidi"/>
          <w:noProof/>
          <w:sz w:val="22"/>
          <w:szCs w:val="22"/>
        </w:rPr>
      </w:pPr>
      <w:r>
        <w:rPr>
          <w:noProof/>
        </w:rPr>
        <w:t>Figure 1: An ESG Journey of a Company (Pérez et al., 2022)</w:t>
      </w:r>
      <w:r>
        <w:rPr>
          <w:noProof/>
        </w:rPr>
        <w:tab/>
      </w:r>
      <w:r>
        <w:rPr>
          <w:noProof/>
        </w:rPr>
        <w:fldChar w:fldCharType="begin"/>
      </w:r>
      <w:r>
        <w:rPr>
          <w:noProof/>
        </w:rPr>
        <w:instrText xml:space="preserve"> PAGEREF _Toc113789623 \h </w:instrText>
      </w:r>
      <w:r>
        <w:rPr>
          <w:noProof/>
        </w:rPr>
      </w:r>
      <w:r>
        <w:rPr>
          <w:noProof/>
        </w:rPr>
        <w:fldChar w:fldCharType="separate"/>
      </w:r>
      <w:r>
        <w:rPr>
          <w:noProof/>
        </w:rPr>
        <w:t>7</w:t>
      </w:r>
      <w:r>
        <w:rPr>
          <w:noProof/>
        </w:rPr>
        <w:fldChar w:fldCharType="end"/>
      </w:r>
    </w:p>
    <w:p w14:paraId="6A27C6A4" w14:textId="0F8392FA" w:rsidR="0008552A" w:rsidRDefault="0008552A">
      <w:pPr>
        <w:pStyle w:val="TableofFigures"/>
        <w:tabs>
          <w:tab w:val="right" w:leader="dot" w:pos="8210"/>
        </w:tabs>
        <w:rPr>
          <w:rFonts w:asciiTheme="minorHAnsi" w:hAnsiTheme="minorHAnsi" w:cstheme="minorBidi"/>
          <w:noProof/>
          <w:sz w:val="22"/>
          <w:szCs w:val="22"/>
        </w:rPr>
      </w:pPr>
      <w:r>
        <w:rPr>
          <w:noProof/>
        </w:rPr>
        <w:t>Figure 2: Three levels of ambition in ESG for companies (Pérez et al., 2022)</w:t>
      </w:r>
      <w:r>
        <w:rPr>
          <w:noProof/>
        </w:rPr>
        <w:tab/>
      </w:r>
      <w:r>
        <w:rPr>
          <w:noProof/>
        </w:rPr>
        <w:fldChar w:fldCharType="begin"/>
      </w:r>
      <w:r>
        <w:rPr>
          <w:noProof/>
        </w:rPr>
        <w:instrText xml:space="preserve"> PAGEREF _Toc113789624 \h </w:instrText>
      </w:r>
      <w:r>
        <w:rPr>
          <w:noProof/>
        </w:rPr>
      </w:r>
      <w:r>
        <w:rPr>
          <w:noProof/>
        </w:rPr>
        <w:fldChar w:fldCharType="separate"/>
      </w:r>
      <w:r>
        <w:rPr>
          <w:noProof/>
        </w:rPr>
        <w:t>8</w:t>
      </w:r>
      <w:r>
        <w:rPr>
          <w:noProof/>
        </w:rPr>
        <w:fldChar w:fldCharType="end"/>
      </w:r>
    </w:p>
    <w:p w14:paraId="12FC78B8" w14:textId="43814EA8" w:rsidR="0008552A" w:rsidRDefault="0008552A">
      <w:pPr>
        <w:pStyle w:val="TableofFigures"/>
        <w:tabs>
          <w:tab w:val="right" w:leader="dot" w:pos="8210"/>
        </w:tabs>
        <w:rPr>
          <w:rFonts w:asciiTheme="minorHAnsi" w:hAnsiTheme="minorHAnsi" w:cstheme="minorBidi"/>
          <w:noProof/>
          <w:sz w:val="22"/>
          <w:szCs w:val="22"/>
        </w:rPr>
      </w:pPr>
      <w:r>
        <w:rPr>
          <w:noProof/>
        </w:rPr>
        <w:t>Figure 3: SDG nexus representing co-occurrences of predicted SDGs within the Inventory of Business Indicators – the node sizes are proportional to the influence within the network (Matsui et al., 2022)</w:t>
      </w:r>
      <w:r>
        <w:rPr>
          <w:noProof/>
        </w:rPr>
        <w:tab/>
      </w:r>
      <w:r>
        <w:rPr>
          <w:noProof/>
        </w:rPr>
        <w:fldChar w:fldCharType="begin"/>
      </w:r>
      <w:r>
        <w:rPr>
          <w:noProof/>
        </w:rPr>
        <w:instrText xml:space="preserve"> PAGEREF _Toc113789625 \h </w:instrText>
      </w:r>
      <w:r>
        <w:rPr>
          <w:noProof/>
        </w:rPr>
      </w:r>
      <w:r>
        <w:rPr>
          <w:noProof/>
        </w:rPr>
        <w:fldChar w:fldCharType="separate"/>
      </w:r>
      <w:r>
        <w:rPr>
          <w:noProof/>
        </w:rPr>
        <w:t>14</w:t>
      </w:r>
      <w:r>
        <w:rPr>
          <w:noProof/>
        </w:rPr>
        <w:fldChar w:fldCharType="end"/>
      </w:r>
    </w:p>
    <w:p w14:paraId="7AAFD6F9" w14:textId="6997EC75" w:rsidR="0008552A" w:rsidRDefault="0008552A">
      <w:pPr>
        <w:pStyle w:val="TableofFigures"/>
        <w:tabs>
          <w:tab w:val="right" w:leader="dot" w:pos="8210"/>
        </w:tabs>
        <w:rPr>
          <w:rFonts w:asciiTheme="minorHAnsi" w:hAnsiTheme="minorHAnsi" w:cstheme="minorBidi"/>
          <w:noProof/>
          <w:sz w:val="22"/>
          <w:szCs w:val="22"/>
        </w:rPr>
      </w:pPr>
      <w:r>
        <w:rPr>
          <w:noProof/>
        </w:rPr>
        <w:t>Figure 4: Climate-related Reporting Assessment Framework (GRI and NUS, 2022)</w:t>
      </w:r>
      <w:r>
        <w:rPr>
          <w:noProof/>
        </w:rPr>
        <w:tab/>
      </w:r>
      <w:r>
        <w:rPr>
          <w:noProof/>
        </w:rPr>
        <w:fldChar w:fldCharType="begin"/>
      </w:r>
      <w:r>
        <w:rPr>
          <w:noProof/>
        </w:rPr>
        <w:instrText xml:space="preserve"> PAGEREF _Toc113789626 \h </w:instrText>
      </w:r>
      <w:r>
        <w:rPr>
          <w:noProof/>
        </w:rPr>
      </w:r>
      <w:r>
        <w:rPr>
          <w:noProof/>
        </w:rPr>
        <w:fldChar w:fldCharType="separate"/>
      </w:r>
      <w:r>
        <w:rPr>
          <w:noProof/>
        </w:rPr>
        <w:t>16</w:t>
      </w:r>
      <w:r>
        <w:rPr>
          <w:noProof/>
        </w:rPr>
        <w:fldChar w:fldCharType="end"/>
      </w:r>
    </w:p>
    <w:p w14:paraId="46D70E22" w14:textId="2444E26D" w:rsidR="0008552A" w:rsidRDefault="0008552A">
      <w:pPr>
        <w:pStyle w:val="TableofFigures"/>
        <w:tabs>
          <w:tab w:val="right" w:leader="dot" w:pos="8210"/>
        </w:tabs>
        <w:rPr>
          <w:rFonts w:asciiTheme="minorHAnsi" w:hAnsiTheme="minorHAnsi" w:cstheme="minorBidi"/>
          <w:noProof/>
          <w:sz w:val="22"/>
          <w:szCs w:val="22"/>
        </w:rPr>
      </w:pPr>
      <w:r>
        <w:rPr>
          <w:noProof/>
        </w:rPr>
        <w:t>Figure 5: Adoption of Various Sustainability Reporting Frameworks for Listed Companies, in Reports issued for Financial Periods ending in 2021 (GRI and NUS, 2022)</w:t>
      </w:r>
      <w:r>
        <w:rPr>
          <w:noProof/>
        </w:rPr>
        <w:tab/>
      </w:r>
      <w:r>
        <w:rPr>
          <w:noProof/>
        </w:rPr>
        <w:fldChar w:fldCharType="begin"/>
      </w:r>
      <w:r>
        <w:rPr>
          <w:noProof/>
        </w:rPr>
        <w:instrText xml:space="preserve"> PAGEREF _Toc113789627 \h </w:instrText>
      </w:r>
      <w:r>
        <w:rPr>
          <w:noProof/>
        </w:rPr>
      </w:r>
      <w:r>
        <w:rPr>
          <w:noProof/>
        </w:rPr>
        <w:fldChar w:fldCharType="separate"/>
      </w:r>
      <w:r>
        <w:rPr>
          <w:noProof/>
        </w:rPr>
        <w:t>23</w:t>
      </w:r>
      <w:r>
        <w:rPr>
          <w:noProof/>
        </w:rPr>
        <w:fldChar w:fldCharType="end"/>
      </w:r>
    </w:p>
    <w:p w14:paraId="43461BF9" w14:textId="57ABB505" w:rsidR="0008552A" w:rsidRDefault="0008552A">
      <w:pPr>
        <w:pStyle w:val="TableofFigures"/>
        <w:tabs>
          <w:tab w:val="right" w:leader="dot" w:pos="8210"/>
        </w:tabs>
        <w:rPr>
          <w:rFonts w:asciiTheme="minorHAnsi" w:hAnsiTheme="minorHAnsi" w:cstheme="minorBidi"/>
          <w:noProof/>
          <w:sz w:val="22"/>
          <w:szCs w:val="22"/>
        </w:rPr>
      </w:pPr>
      <w:r>
        <w:rPr>
          <w:noProof/>
        </w:rPr>
        <w:t>Figure 6: Conceptual Model Linking Corporate Environmental Management and Performance with Firm Value (Reddy and Gordon, 2010)</w:t>
      </w:r>
      <w:r>
        <w:rPr>
          <w:noProof/>
        </w:rPr>
        <w:tab/>
      </w:r>
      <w:r>
        <w:rPr>
          <w:noProof/>
        </w:rPr>
        <w:fldChar w:fldCharType="begin"/>
      </w:r>
      <w:r>
        <w:rPr>
          <w:noProof/>
        </w:rPr>
        <w:instrText xml:space="preserve"> PAGEREF _Toc113789628 \h </w:instrText>
      </w:r>
      <w:r>
        <w:rPr>
          <w:noProof/>
        </w:rPr>
      </w:r>
      <w:r>
        <w:rPr>
          <w:noProof/>
        </w:rPr>
        <w:fldChar w:fldCharType="separate"/>
      </w:r>
      <w:r>
        <w:rPr>
          <w:noProof/>
        </w:rPr>
        <w:t>32</w:t>
      </w:r>
      <w:r>
        <w:rPr>
          <w:noProof/>
        </w:rPr>
        <w:fldChar w:fldCharType="end"/>
      </w:r>
    </w:p>
    <w:p w14:paraId="73ABEF54" w14:textId="2E820641" w:rsidR="0008552A" w:rsidRDefault="0008552A">
      <w:pPr>
        <w:pStyle w:val="TableofFigures"/>
        <w:tabs>
          <w:tab w:val="right" w:leader="dot" w:pos="8210"/>
        </w:tabs>
        <w:rPr>
          <w:rFonts w:asciiTheme="minorHAnsi" w:hAnsiTheme="minorHAnsi" w:cstheme="minorBidi"/>
          <w:noProof/>
          <w:sz w:val="22"/>
          <w:szCs w:val="22"/>
        </w:rPr>
      </w:pPr>
      <w:r>
        <w:rPr>
          <w:noProof/>
        </w:rPr>
        <w:t>Figure 7: A model of the capital market impacts of corporate social responsibility (Richardson et al., 1999)</w:t>
      </w:r>
      <w:r>
        <w:rPr>
          <w:noProof/>
        </w:rPr>
        <w:tab/>
      </w:r>
      <w:r>
        <w:rPr>
          <w:noProof/>
        </w:rPr>
        <w:fldChar w:fldCharType="begin"/>
      </w:r>
      <w:r>
        <w:rPr>
          <w:noProof/>
        </w:rPr>
        <w:instrText xml:space="preserve"> PAGEREF _Toc113789629 \h </w:instrText>
      </w:r>
      <w:r>
        <w:rPr>
          <w:noProof/>
        </w:rPr>
      </w:r>
      <w:r>
        <w:rPr>
          <w:noProof/>
        </w:rPr>
        <w:fldChar w:fldCharType="separate"/>
      </w:r>
      <w:r>
        <w:rPr>
          <w:noProof/>
        </w:rPr>
        <w:t>33</w:t>
      </w:r>
      <w:r>
        <w:rPr>
          <w:noProof/>
        </w:rPr>
        <w:fldChar w:fldCharType="end"/>
      </w:r>
    </w:p>
    <w:p w14:paraId="26095B7C" w14:textId="28F7A53D" w:rsidR="0008552A" w:rsidRDefault="0008552A">
      <w:pPr>
        <w:pStyle w:val="TableofFigures"/>
        <w:tabs>
          <w:tab w:val="right" w:leader="dot" w:pos="8210"/>
        </w:tabs>
        <w:rPr>
          <w:rFonts w:asciiTheme="minorHAnsi" w:hAnsiTheme="minorHAnsi" w:cstheme="minorBidi"/>
          <w:noProof/>
          <w:sz w:val="22"/>
          <w:szCs w:val="22"/>
        </w:rPr>
      </w:pPr>
      <w:r>
        <w:rPr>
          <w:noProof/>
        </w:rPr>
        <w:t>Figure 8: Rates of positive-negative comments (Kang and Kim, 2022)</w:t>
      </w:r>
      <w:r>
        <w:rPr>
          <w:noProof/>
        </w:rPr>
        <w:tab/>
      </w:r>
      <w:r>
        <w:rPr>
          <w:noProof/>
        </w:rPr>
        <w:fldChar w:fldCharType="begin"/>
      </w:r>
      <w:r>
        <w:rPr>
          <w:noProof/>
        </w:rPr>
        <w:instrText xml:space="preserve"> PAGEREF _Toc113789630 \h </w:instrText>
      </w:r>
      <w:r>
        <w:rPr>
          <w:noProof/>
        </w:rPr>
      </w:r>
      <w:r>
        <w:rPr>
          <w:noProof/>
        </w:rPr>
        <w:fldChar w:fldCharType="separate"/>
      </w:r>
      <w:r>
        <w:rPr>
          <w:noProof/>
        </w:rPr>
        <w:t>38</w:t>
      </w:r>
      <w:r>
        <w:rPr>
          <w:noProof/>
        </w:rPr>
        <w:fldChar w:fldCharType="end"/>
      </w:r>
    </w:p>
    <w:p w14:paraId="50076229" w14:textId="64438C4F" w:rsidR="0008552A" w:rsidRDefault="0008552A">
      <w:pPr>
        <w:pStyle w:val="TableofFigures"/>
        <w:tabs>
          <w:tab w:val="right" w:leader="dot" w:pos="8210"/>
        </w:tabs>
        <w:rPr>
          <w:rFonts w:asciiTheme="minorHAnsi" w:hAnsiTheme="minorHAnsi" w:cstheme="minorBidi"/>
          <w:noProof/>
          <w:sz w:val="22"/>
          <w:szCs w:val="22"/>
        </w:rPr>
      </w:pPr>
      <w:r>
        <w:rPr>
          <w:noProof/>
        </w:rPr>
        <w:t>Figure 9: Thematic distribution of topics within sustainability reports - comparison of six firms from 2011 to 2020 (Kang and Kim, 2022).</w:t>
      </w:r>
      <w:r>
        <w:rPr>
          <w:noProof/>
        </w:rPr>
        <w:tab/>
      </w:r>
      <w:r>
        <w:rPr>
          <w:noProof/>
        </w:rPr>
        <w:fldChar w:fldCharType="begin"/>
      </w:r>
      <w:r>
        <w:rPr>
          <w:noProof/>
        </w:rPr>
        <w:instrText xml:space="preserve"> PAGEREF _Toc113789631 \h </w:instrText>
      </w:r>
      <w:r>
        <w:rPr>
          <w:noProof/>
        </w:rPr>
      </w:r>
      <w:r>
        <w:rPr>
          <w:noProof/>
        </w:rPr>
        <w:fldChar w:fldCharType="separate"/>
      </w:r>
      <w:r>
        <w:rPr>
          <w:noProof/>
        </w:rPr>
        <w:t>39</w:t>
      </w:r>
      <w:r>
        <w:rPr>
          <w:noProof/>
        </w:rPr>
        <w:fldChar w:fldCharType="end"/>
      </w:r>
    </w:p>
    <w:p w14:paraId="464DAEFD" w14:textId="08E62C62" w:rsidR="0008552A" w:rsidRDefault="0008552A">
      <w:pPr>
        <w:pStyle w:val="TableofFigures"/>
        <w:tabs>
          <w:tab w:val="right" w:leader="dot" w:pos="8210"/>
        </w:tabs>
        <w:rPr>
          <w:rFonts w:asciiTheme="minorHAnsi" w:hAnsiTheme="minorHAnsi" w:cstheme="minorBidi"/>
          <w:noProof/>
          <w:sz w:val="22"/>
          <w:szCs w:val="22"/>
        </w:rPr>
      </w:pPr>
      <w:r>
        <w:rPr>
          <w:noProof/>
        </w:rPr>
        <w:t>Figure 10: Mean probability of occurrence of environmental, social, and economic topics in he years 1999 until 2014 (Székely and Vom, 2017).</w:t>
      </w:r>
      <w:r>
        <w:rPr>
          <w:noProof/>
        </w:rPr>
        <w:tab/>
      </w:r>
      <w:r>
        <w:rPr>
          <w:noProof/>
        </w:rPr>
        <w:fldChar w:fldCharType="begin"/>
      </w:r>
      <w:r>
        <w:rPr>
          <w:noProof/>
        </w:rPr>
        <w:instrText xml:space="preserve"> PAGEREF _Toc113789632 \h </w:instrText>
      </w:r>
      <w:r>
        <w:rPr>
          <w:noProof/>
        </w:rPr>
      </w:r>
      <w:r>
        <w:rPr>
          <w:noProof/>
        </w:rPr>
        <w:fldChar w:fldCharType="separate"/>
      </w:r>
      <w:r>
        <w:rPr>
          <w:noProof/>
        </w:rPr>
        <w:t>40</w:t>
      </w:r>
      <w:r>
        <w:rPr>
          <w:noProof/>
        </w:rPr>
        <w:fldChar w:fldCharType="end"/>
      </w:r>
    </w:p>
    <w:p w14:paraId="58416868" w14:textId="53B16FB5" w:rsidR="00410767" w:rsidRPr="00711E5D" w:rsidRDefault="00711E5D" w:rsidP="00F931FF">
      <w:pPr>
        <w:pStyle w:val="Heading1"/>
        <w:spacing w:after="240"/>
      </w:pPr>
      <w:r w:rsidRPr="00711E5D">
        <w:fldChar w:fldCharType="end"/>
      </w:r>
    </w:p>
    <w:p w14:paraId="26D5489A" w14:textId="77777777" w:rsidR="009521A3" w:rsidRDefault="009521A3" w:rsidP="00410767">
      <w:pPr>
        <w:pStyle w:val="Heading1"/>
        <w:sectPr w:rsidR="009521A3" w:rsidSect="009521A3">
          <w:footerReference w:type="default" r:id="rId17"/>
          <w:pgSz w:w="11906" w:h="16838" w:code="9"/>
          <w:pgMar w:top="1418" w:right="1418" w:bottom="1418" w:left="2268" w:header="709" w:footer="709" w:gutter="0"/>
          <w:pgNumType w:fmt="lowerRoman"/>
          <w:cols w:space="708"/>
          <w:docGrid w:linePitch="360"/>
        </w:sectPr>
      </w:pPr>
    </w:p>
    <w:p w14:paraId="122AA9E5" w14:textId="7ABDDA8D" w:rsidR="00835CFC" w:rsidRDefault="00334F99" w:rsidP="00334F99">
      <w:pPr>
        <w:pStyle w:val="Heading1"/>
      </w:pPr>
      <w:bookmarkStart w:id="3" w:name="_Toc113806097"/>
      <w:r>
        <w:lastRenderedPageBreak/>
        <w:t>Introduction</w:t>
      </w:r>
      <w:bookmarkEnd w:id="3"/>
    </w:p>
    <w:p w14:paraId="45AB3BAD" w14:textId="77777777" w:rsidR="00EA4579" w:rsidRDefault="00EA4579" w:rsidP="00EA4579"/>
    <w:p w14:paraId="79D58FDB" w14:textId="28184211" w:rsidR="00EA4579" w:rsidRDefault="00EA4579" w:rsidP="00EA4579">
      <w:r>
        <w:t>Non-financial information is increasingly important to stakeholders in assessing a company’s performance. This morphs the classical view that the shareholders exclusively seek to maximise returns. For example, the triple-bottom-line – proposed in Elkington (1999) proposed that companies were to focus on people and the planet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were representative of the broader social focus in Singapore in the 1990s on fostering social cohesion. Since that initial study, other similar studies have revealed statistically significant positive relationships between Corporate Social Responsibility (CSR) disclosures and financial performance (Khaveh et al., 2012).</w:t>
      </w:r>
    </w:p>
    <w:p w14:paraId="10FCCDE8" w14:textId="77777777" w:rsidR="00EA4579" w:rsidRDefault="00EA4579" w:rsidP="00EA4579"/>
    <w:p w14:paraId="2EB60717" w14:textId="53D14A36" w:rsidR="000E13D3" w:rsidRDefault="00EA4579" w:rsidP="00EA4579">
      <w:r>
        <w:t>Sustainability reports have become commonplace for companies to communicate their non-financial performance and initiatives to their stakeholders. These reports are now part of mandatory disclosures for listed companies (“issuers”) in Singapore.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costly sustainability initiatives to reduce information asymmetry (Connelly, Ketchen &amp; Slater, 2011).</w:t>
      </w:r>
    </w:p>
    <w:p w14:paraId="739D5782" w14:textId="77777777" w:rsidR="00EA4579" w:rsidRDefault="00EA4579" w:rsidP="00EA4579"/>
    <w:p w14:paraId="76330E09" w14:textId="186EEA6B" w:rsidR="00EA4579" w:rsidRDefault="00EA4579" w:rsidP="00EA4579">
      <w:r>
        <w:t xml:space="preserve">Following the “Sustainability Reporting Review 2021” by the Task Force on Climate-related Financial Disclosures (TCFD), SGX has moved to strengthen its sustainability </w:t>
      </w:r>
      <w:r>
        <w:lastRenderedPageBreak/>
        <w:t>reporting requirements. From 1 January 2022, issuers must perform ‘climate reporting’. This will become mandatory for issuers in the (a) financial industry, (b) agriculture, food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223C17E" w14:textId="60C2E892" w:rsidR="000E13D3" w:rsidRDefault="000E13D3" w:rsidP="00EA4579"/>
    <w:p w14:paraId="30611529" w14:textId="5EF4BBFD" w:rsidR="000E13D3" w:rsidRDefault="00A406C5" w:rsidP="00EA4579">
      <w:r>
        <w:t>The ESGenome disclosure portal was launched by t</w:t>
      </w:r>
      <w:r w:rsidRPr="00A406C5">
        <w:t>he Singapore Exchange Regulation</w:t>
      </w:r>
      <w:r>
        <w:t xml:space="preserve"> in 2022 (Huang, 2022) as a platform for companies to upload their climate disclosures, and for stakeholders to view such information. The </w:t>
      </w:r>
      <w:r w:rsidR="000E13D3">
        <w:t>SGX RegCo aims to address gaps i</w:t>
      </w:r>
      <w:r w:rsidR="00807C41">
        <w:t xml:space="preserve">n sustainability reporting and </w:t>
      </w:r>
      <w:r>
        <w:t>make it easier for companies to make disclosures. The information required follows the</w:t>
      </w:r>
      <w:r w:rsidR="001E299C">
        <w:t xml:space="preserve"> TCFD’s recommendations and supplemented by the SGX’s prescribed 27 core metrics (Singapore Exchange, 2021). This initiative</w:t>
      </w:r>
      <w:r w:rsidR="008D5D1B">
        <w:t xml:space="preserve"> helps standardise information being reported and potentially improves comparability across reporting firms.</w:t>
      </w:r>
    </w:p>
    <w:p w14:paraId="7EC6EB6E" w14:textId="551D29D9" w:rsidR="00EA4579" w:rsidRDefault="00EA4579" w:rsidP="00EA4579"/>
    <w:p w14:paraId="3042CECD" w14:textId="77777777" w:rsidR="00EA4579" w:rsidRDefault="00EA4579" w:rsidP="00EA4579">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 At this juncture where SGX is strengthening its requirements – making CSR disclosures mandatory for TCFD-identified industries, this study will examine if the relationship for Singapore-listed companies is materially different.</w:t>
      </w:r>
    </w:p>
    <w:p w14:paraId="0E04616C" w14:textId="77777777" w:rsidR="00EA4579" w:rsidRDefault="00EA4579" w:rsidP="00EA4579"/>
    <w:p w14:paraId="591A22A2" w14:textId="77777777" w:rsidR="00EA4579" w:rsidRDefault="00EA4579" w:rsidP="00EA4579">
      <w:r>
        <w:t xml:space="preserve">There were studies conducted using empirical evidence from listed companies in Singapore (Tsang, 1998; Loh et al., 2017; Wahyuningrum et al., 2021), as well as other jurisdictions – Malaysia (Kasbun et al., 2017), India (Aggarwal, 2013-a; Motwani and Pandya, 2016), Brazil (Ching et al., 2017), Australia (Jones et al., 2007). These studies </w:t>
      </w:r>
      <w:r>
        <w:lastRenderedPageBreak/>
        <w:t>regressed financial metrics against sustainability indicators at a point in time. In determining inputs for sustainability indicators, these studies used simple, self-developed scoring methods to assess the quantity and quality of disclosures. These approaches will be discussed in the subsequent section.</w:t>
      </w:r>
    </w:p>
    <w:p w14:paraId="5AAF75BE" w14:textId="77777777" w:rsidR="00EA4579" w:rsidRDefault="00EA4579" w:rsidP="00EA4579"/>
    <w:p w14:paraId="554C3F81" w14:textId="7847ABB9" w:rsidR="00334F99" w:rsidRDefault="00EA4579" w:rsidP="00EA4579">
      <w:r>
        <w:t>This will adapt prior approaches and proposed new methods in assessing the relationship between CSR disclosures and CFP. Two Natural Language Processing (NLP) techniques are adopted to analyse annual reports – topical modelling (Rehurek and Sojka, 2011)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093D08A" w14:textId="71B4338B" w:rsidR="003317E7" w:rsidRDefault="003317E7" w:rsidP="00EA4579"/>
    <w:p w14:paraId="292A4D9D" w14:textId="69CD5EBB" w:rsidR="003317E7" w:rsidRDefault="003317E7" w:rsidP="00EA4579">
      <w:r>
        <w:t xml:space="preserve">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w:t>
      </w:r>
      <w:r w:rsidR="00727B78">
        <w:t>The results will thereafter be compared to findings in prior studies. The concluding section summarises the paper and proposes suggestions for stakeholders and future directions for research.</w:t>
      </w:r>
    </w:p>
    <w:p w14:paraId="4AF44B3B" w14:textId="18F6F90B" w:rsidR="00EA4579" w:rsidRDefault="00EA4579">
      <w:pPr>
        <w:spacing w:after="160" w:line="259" w:lineRule="auto"/>
        <w:jc w:val="left"/>
      </w:pPr>
      <w:r>
        <w:br w:type="page"/>
      </w:r>
    </w:p>
    <w:p w14:paraId="52D97F7A" w14:textId="6AC026DA" w:rsidR="00A90806" w:rsidRDefault="0014085D" w:rsidP="00552166">
      <w:pPr>
        <w:pStyle w:val="Heading1"/>
      </w:pPr>
      <w:bookmarkStart w:id="4" w:name="_Toc113806098"/>
      <w:r>
        <w:lastRenderedPageBreak/>
        <w:t>Literature Review</w:t>
      </w:r>
      <w:bookmarkEnd w:id="4"/>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(Edgecliffe-Johnson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5" w:name="_Toc113806099"/>
      <w:r>
        <w:t>Corporate Social Responsibility (CSR) versus Environmental, Social and Governance (ESG)</w:t>
      </w:r>
      <w:bookmarkEnd w:id="5"/>
    </w:p>
    <w:p w14:paraId="6DB5AE32" w14:textId="2C861578" w:rsidR="00BE397A" w:rsidRDefault="00BE397A" w:rsidP="00BE397A"/>
    <w:p w14:paraId="52C82BBC" w14:textId="63C17761" w:rsidR="009B6D2D" w:rsidRDefault="000117E1" w:rsidP="00BE397A">
      <w:r>
        <w:t>Whilst CSR and ESG are two terms which appear to be used interchangeably,</w:t>
      </w:r>
      <w:r w:rsidR="009D338C">
        <w:t xml:space="preserve">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100DA5E0" w14:textId="76A1297C" w:rsidR="009B6D2D" w:rsidRDefault="009B6D2D" w:rsidP="00BE397A"/>
    <w:p w14:paraId="6F273A75" w14:textId="559D1082" w:rsidR="009B6D2D" w:rsidRDefault="009B6D2D" w:rsidP="00BE397A">
      <w:r>
        <w:t>The emergence of these two terms hints at the difference between CSR and ESG in business strategy. CSR stemmed from market failure in the 19</w:t>
      </w:r>
      <w:r w:rsidRPr="009B6D2D">
        <w:rPr>
          <w:vertAlign w:val="superscript"/>
        </w:rPr>
        <w:t>th</w:t>
      </w:r>
      <w:r>
        <w:t xml:space="preserve"> and 20</w:t>
      </w:r>
      <w:r w:rsidRPr="009B6D2D">
        <w:rPr>
          <w:vertAlign w:val="superscript"/>
        </w:rPr>
        <w:t>th</w:t>
      </w:r>
      <w:r>
        <w:t xml:space="preserve"> century, whereas ESG is an integration of various fragments of initiatives from 2005. CSR is driven as a reactionary force, whereas ESG is a proactive force driven by a desire to do better.</w:t>
      </w:r>
      <w:r w:rsidR="00742778">
        <w:t xml:space="preserve"> Later, the United Nations (UN) had agreed on the Sustainable Development Goals (SDG), discussed in a later section. Ewenpx3orguk (n.d.) proposes a Venn diagram – Figure – which attempts to explain the intersection between these concepts.</w:t>
      </w:r>
    </w:p>
    <w:p w14:paraId="058F2A51" w14:textId="605705CB" w:rsidR="00742778" w:rsidRDefault="00742778" w:rsidP="00BE397A"/>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18"/>
                    <a:stretch>
                      <a:fillRect/>
                    </a:stretch>
                  </pic:blipFill>
                  <pic:spPr>
                    <a:xfrm>
                      <a:off x="0" y="0"/>
                      <a:ext cx="3600000" cy="3290769"/>
                    </a:xfrm>
                    <a:prstGeom prst="rect">
                      <a:avLst/>
                    </a:prstGeom>
                  </pic:spPr>
                </pic:pic>
              </a:graphicData>
            </a:graphic>
          </wp:inline>
        </w:drawing>
      </w:r>
    </w:p>
    <w:p w14:paraId="7C64333D" w14:textId="36DCA8E3" w:rsidR="00742778" w:rsidRDefault="00742778" w:rsidP="00742778">
      <w:pPr>
        <w:pStyle w:val="Caption"/>
      </w:pPr>
      <w:r>
        <w:t xml:space="preserve">Figure </w:t>
      </w:r>
      <w:fldSimple w:instr=" SEQ Figure \* ARABIC ">
        <w:r>
          <w:rPr>
            <w:noProof/>
          </w:rPr>
          <w:t>1</w:t>
        </w:r>
      </w:fldSimple>
      <w:r>
        <w:t>: Interaction between CSR, ESG, and SDGs (ewenpx3orguk, n.d.)</w:t>
      </w:r>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6" w:name="_Toc113806100"/>
      <w:r>
        <w:t>Corporate Social Responsibility</w:t>
      </w:r>
      <w:bookmarkEnd w:id="6"/>
    </w:p>
    <w:p w14:paraId="57ABA7F2" w14:textId="17BBE7D0" w:rsidR="00D871E5" w:rsidRDefault="00797C4B" w:rsidP="00BE397A">
      <w:r>
        <w:t>Corporate social responsibility e</w:t>
      </w:r>
      <w:r w:rsidRPr="00797C4B">
        <w:t>merged during the industrial revolution but became more established as a concept through corporate philanthropy</w:t>
      </w:r>
      <w:r>
        <w:t xml:space="preserve">. </w:t>
      </w:r>
      <w:r w:rsidR="00F075BA">
        <w:t xml:space="preserve">Despite numerous </w:t>
      </w:r>
      <w:r w:rsidR="00F075BA" w:rsidRPr="00F075BA">
        <w:t>efforts to achieve a clear and unbiased definition on Corporate Social Responsibility, there is still some confusion as how should be defined</w:t>
      </w:r>
      <w:r w:rsidR="00F075BA">
        <w:t xml:space="preserve"> (Dahlsrud, 2008). </w:t>
      </w:r>
      <w:r w:rsidR="00D871E5">
        <w:t xml:space="preserve">Several definitions of </w:t>
      </w:r>
      <w:r w:rsidR="009D338C">
        <w:t>Corporate Social Responsibility (CSR)</w:t>
      </w:r>
      <w:r w:rsidR="00D871E5">
        <w:t xml:space="preserve"> include:</w:t>
      </w:r>
    </w:p>
    <w:p w14:paraId="011AC253" w14:textId="7A9D8A12" w:rsidR="00D871E5" w:rsidRDefault="00D871E5" w:rsidP="00BE397A"/>
    <w:p w14:paraId="38BFBD1B" w14:textId="08616708" w:rsidR="00B47636" w:rsidRDefault="00B47636" w:rsidP="00B9430E">
      <w:pPr>
        <w:pStyle w:val="ListParagraph"/>
        <w:numPr>
          <w:ilvl w:val="0"/>
          <w:numId w:val="17"/>
        </w:numPr>
      </w:pPr>
      <w:r>
        <w:t xml:space="preserve">A duty </w:t>
      </w:r>
      <w:r w:rsidRPr="00B47636">
        <w:t>for companies to pursue and make appropriate decisions or actions</w:t>
      </w:r>
      <w:r>
        <w:t xml:space="preserve"> (Bowen, 1953).</w:t>
      </w:r>
    </w:p>
    <w:p w14:paraId="7960B49F" w14:textId="7F1A8DD2" w:rsidR="00F6024F" w:rsidRDefault="00F6024F" w:rsidP="00B9430E">
      <w:pPr>
        <w:pStyle w:val="ListParagraph"/>
        <w:numPr>
          <w:ilvl w:val="0"/>
          <w:numId w:val="17"/>
        </w:numPr>
      </w:pPr>
      <w:r>
        <w:t>T</w:t>
      </w:r>
      <w:r w:rsidRPr="00F6024F">
        <w:t xml:space="preserve">he </w:t>
      </w:r>
      <w:r w:rsidRPr="00F6024F">
        <w:rPr>
          <w:b/>
          <w:bCs/>
        </w:rPr>
        <w:t>obligations</w:t>
      </w:r>
      <w:r w:rsidRPr="00F6024F">
        <w:t xml:space="preserve"> of businessmen to pursue those policies, to make those decisions, or to follow those lines of action which are desirable in terms of the objectives and values of our society” (Bowen 1953</w:t>
      </w:r>
      <w:r w:rsidR="00A82F8D">
        <w:t>;</w:t>
      </w:r>
      <w:r w:rsidRPr="00F6024F">
        <w:t xml:space="preserve"> Ealls, 1956</w:t>
      </w:r>
      <w:r w:rsidR="00A82F8D">
        <w:t>;</w:t>
      </w:r>
      <w:r w:rsidRPr="00F6024F">
        <w:t xml:space="preserve"> Selekman, 1959).</w:t>
      </w:r>
    </w:p>
    <w:p w14:paraId="28AD9E5B" w14:textId="0B2A5EC4" w:rsidR="00CD2062" w:rsidRDefault="00CD2062" w:rsidP="00B9430E">
      <w:pPr>
        <w:pStyle w:val="ListParagraph"/>
        <w:numPr>
          <w:ilvl w:val="0"/>
          <w:numId w:val="17"/>
        </w:numPr>
      </w:pPr>
      <w:r>
        <w:lastRenderedPageBreak/>
        <w:t>B</w:t>
      </w:r>
      <w:r w:rsidRPr="00CD2062">
        <w:t>usinessmen’s decisions and actions taken for reasons at least partially beyond the firm’s direct economic or technical interest</w:t>
      </w:r>
      <w:r>
        <w:t xml:space="preserve"> (Davis, 1960).</w:t>
      </w:r>
    </w:p>
    <w:p w14:paraId="73823D19" w14:textId="13681FF3" w:rsidR="00B967CA" w:rsidRDefault="00B967CA" w:rsidP="00B9430E">
      <w:pPr>
        <w:pStyle w:val="ListParagraph"/>
        <w:numPr>
          <w:ilvl w:val="0"/>
          <w:numId w:val="17"/>
        </w:numPr>
      </w:pPr>
      <w:r>
        <w:t>T</w:t>
      </w:r>
      <w:r w:rsidRPr="00B967CA">
        <w:t>he social responsibility of business encompasses the economic, legal, ethical and discretionary expectations that society has of organizations at a given point in time</w:t>
      </w:r>
      <w:r>
        <w:t xml:space="preserve"> (Carroll, 1979).</w:t>
      </w:r>
    </w:p>
    <w:p w14:paraId="742609DD" w14:textId="2B5EAF42" w:rsidR="00F6024F" w:rsidRDefault="00F6024F" w:rsidP="00B9430E">
      <w:pPr>
        <w:pStyle w:val="ListParagraph"/>
        <w:numPr>
          <w:ilvl w:val="0"/>
          <w:numId w:val="17"/>
        </w:numPr>
      </w:pPr>
      <w:r>
        <w:t>A</w:t>
      </w:r>
      <w:r w:rsidRPr="00F075BA">
        <w:t xml:space="preserve"> concept whereby companies </w:t>
      </w:r>
      <w:r w:rsidRPr="00F6024F">
        <w:rPr>
          <w:b/>
          <w:bCs/>
        </w:rPr>
        <w:t>integrate</w:t>
      </w:r>
      <w:r w:rsidRPr="00F075BA">
        <w:t xml:space="preserve"> social and environmental concerns in their business operations and in their interaction with their stakeholders on a voluntary basis (European Commission</w:t>
      </w:r>
      <w:r>
        <w:t>, 2001).</w:t>
      </w:r>
    </w:p>
    <w:p w14:paraId="08C6C86B" w14:textId="18864EBE" w:rsidR="00D871E5" w:rsidRDefault="00D348FF" w:rsidP="00B9430E">
      <w:pPr>
        <w:pStyle w:val="ListParagraph"/>
        <w:numPr>
          <w:ilvl w:val="0"/>
          <w:numId w:val="17"/>
        </w:numPr>
      </w:pPr>
      <w:r>
        <w:t>The voluntary action implemented by corporations in the pursuit of its mission, fulfilling its perceived obligations to stakeholders, including employees, communities, the environment, and society (Coombs and Holladay, 2012).</w:t>
      </w:r>
    </w:p>
    <w:p w14:paraId="4839D202" w14:textId="2BDAB836" w:rsidR="00AE60CE" w:rsidRDefault="006B481A" w:rsidP="00B9430E">
      <w:pPr>
        <w:pStyle w:val="ListParagraph"/>
        <w:numPr>
          <w:ilvl w:val="0"/>
          <w:numId w:val="17"/>
        </w:numPr>
      </w:pPr>
      <w:r>
        <w:t xml:space="preserve">The </w:t>
      </w:r>
      <w:r w:rsidRPr="006B481A">
        <w:t>moment in which corporations reflect their concerns about social and global issues on their activities, even if some activities may not strictly be related with the core of their business</w:t>
      </w:r>
      <w:r>
        <w:t xml:space="preserve"> (Trapp, 2012).</w:t>
      </w:r>
    </w:p>
    <w:p w14:paraId="00D9B78D" w14:textId="410D4321" w:rsidR="00B9430E" w:rsidRDefault="00B9430E" w:rsidP="00B9430E">
      <w:pPr>
        <w:pStyle w:val="ListParagraph"/>
        <w:numPr>
          <w:ilvl w:val="0"/>
          <w:numId w:val="17"/>
        </w:numPr>
      </w:pPr>
      <w:r>
        <w:t>A form of business regulation that guides companies to operate in a socially responsible way. Core subjects listed in CSR include: human rights, fair labour practices, the environment, fair operating practices, consumer issues, and community involvement and development (Green Business Bureau, 2021).</w:t>
      </w:r>
    </w:p>
    <w:p w14:paraId="29DF7D35" w14:textId="035979AA" w:rsidR="00D348FF" w:rsidRDefault="00D348FF" w:rsidP="00D348FF"/>
    <w:p w14:paraId="0F0D38B5" w14:textId="67BCF79F" w:rsidR="00D348FF" w:rsidRDefault="00D348FF" w:rsidP="00CF1200">
      <w:r>
        <w:t xml:space="preserve">Between these definitions, </w:t>
      </w:r>
      <w:r w:rsidR="00CF1200">
        <w:t xml:space="preserve">one commonality to highlight was the </w:t>
      </w:r>
      <w:r w:rsidR="00CF1200" w:rsidRPr="00CF1200">
        <w:t>f</w:t>
      </w:r>
      <w:r w:rsidR="00465EAF" w:rsidRPr="00CF1200">
        <w:t xml:space="preserve">ulfilment of perceived </w:t>
      </w:r>
      <w:r w:rsidR="00CF1200" w:rsidRPr="00CF1200">
        <w:t>obligations.</w:t>
      </w:r>
      <w:r w:rsidR="00465EAF">
        <w:t xml:space="preserve"> </w:t>
      </w:r>
      <w:r w:rsidR="00D2176C">
        <w:t xml:space="preserve">The assumption underlying this is that CSR adversely affects </w:t>
      </w:r>
      <w:r w:rsidR="00D2176C" w:rsidRPr="00D2176C">
        <w:t>corporate performance regardless of behavioural motivations.</w:t>
      </w:r>
      <w:r w:rsidR="00AA350B">
        <w:t xml:space="preserve"> </w:t>
      </w:r>
      <w:r w:rsidR="00CF1200">
        <w:t>This i</w:t>
      </w:r>
      <w:r w:rsidR="00465EAF">
        <w:t>mplies a need for continual evaluation of agendas against an evolving set of expectations, in consideration of societal structures and practices in the present (L’Etang et al., 2011)</w:t>
      </w:r>
      <w:r w:rsidR="001E587E">
        <w:t>.</w:t>
      </w:r>
      <w:r w:rsidR="0004644E">
        <w:t xml:space="preserve"> CSR is a critical decision of corporates that involves both stakeholders and sustainability (Dahlsrud, 2008).</w:t>
      </w:r>
      <w:r w:rsidR="00AA350B">
        <w:t xml:space="preserve"> The emphasis is on the premise that there are </w:t>
      </w:r>
      <w:r w:rsidR="00AA350B" w:rsidRPr="00AA350B">
        <w:t>activities that meet social expectations while consuming certain</w:t>
      </w:r>
      <w:r w:rsidR="00D86706">
        <w:t xml:space="preserve"> </w:t>
      </w:r>
      <w:r w:rsidR="00D86706" w:rsidRPr="00AA350B">
        <w:t>costs</w:t>
      </w:r>
      <w:r w:rsidR="00AA350B">
        <w:t>.</w:t>
      </w:r>
    </w:p>
    <w:p w14:paraId="21CFEC0F" w14:textId="54C85D12" w:rsidR="00D348FF" w:rsidRDefault="00D348FF" w:rsidP="00BE397A"/>
    <w:p w14:paraId="25A76138" w14:textId="3E1B3FF7" w:rsidR="00AE60CE" w:rsidRDefault="00AE60CE" w:rsidP="00BE397A">
      <w:r>
        <w:t>Some studies have argued that reasons for companies to take on more social responsibility is motivated by a desire to have more profitability than competitors with less social responsibility (Orlitzky et al., 2003; Vogel, 2005).</w:t>
      </w:r>
    </w:p>
    <w:p w14:paraId="3671B87A" w14:textId="70FC388D" w:rsidR="0076614F" w:rsidRDefault="0076614F" w:rsidP="00BE397A"/>
    <w:p w14:paraId="005A2187" w14:textId="368C4753" w:rsidR="0076614F" w:rsidRDefault="0076614F" w:rsidP="0076614F">
      <w:r w:rsidRPr="0076614F">
        <w:lastRenderedPageBreak/>
        <w:t>The conflicting view on CSR harbours in three themes: (i) violating obligation to shareholders - which, explained later through the Friedman Doctrine, is to maximise profits, (ii) covering wrongdoing, and (iii) creating false dichotomies</w:t>
      </w:r>
      <w:r>
        <w:t xml:space="preserve"> (</w:t>
      </w:r>
      <w:r w:rsidRPr="0076614F">
        <w:t>Freeman &amp; Dmytriyev, 2017).</w:t>
      </w:r>
      <w:r w:rsidR="00201143">
        <w:t xml:space="preserve"> CSR has also been critiqued for its ‘voluntary transparency regime’ – which can be counterintuitive. This is because it may be a decoy; a </w:t>
      </w:r>
      <w:r w:rsidR="00201143" w:rsidRPr="00201143">
        <w:t>legitimising function as corporations can easily claim to be transparent thus ‘inoculating publics against negative accounts of corporate behaviour’</w:t>
      </w:r>
      <w:r w:rsidR="00201143">
        <w:t xml:space="preserve"> (Nadesan, 2011).</w:t>
      </w:r>
    </w:p>
    <w:p w14:paraId="3476D4F5" w14:textId="77777777" w:rsidR="00AA350B" w:rsidRDefault="00AA350B" w:rsidP="00BE397A"/>
    <w:p w14:paraId="708A2992" w14:textId="4DD47B67" w:rsidR="00D2176C" w:rsidRDefault="00D2176C" w:rsidP="00AA350B">
      <w:pPr>
        <w:pStyle w:val="Heading3"/>
      </w:pPr>
      <w:bookmarkStart w:id="7" w:name="_Toc113806101"/>
      <w:r w:rsidRPr="00D2176C">
        <w:t>Environmental, Social, and Governance</w:t>
      </w:r>
      <w:bookmarkEnd w:id="7"/>
    </w:p>
    <w:p w14:paraId="0031E4C4" w14:textId="05E4E108" w:rsidR="0075590E" w:rsidRDefault="0049007F" w:rsidP="00BE397A">
      <w:r>
        <w:t xml:space="preserve">ESG is viewed as a way of categorising CSR initiatives. Plainly, the term is self-explanatory through its components – Environmental, Social, and Governance matters. The term </w:t>
      </w:r>
      <w:r w:rsidR="00461C35">
        <w:t>can be</w:t>
      </w:r>
      <w:r w:rsidR="00D2176C">
        <w:t xml:space="preserve"> understood, from one perspective,</w:t>
      </w:r>
      <w:r>
        <w:t xml:space="preserve"> as a measurement concept; a subset of CSR initiatives. </w:t>
      </w:r>
    </w:p>
    <w:p w14:paraId="5108ADF8" w14:textId="77777777" w:rsidR="0075590E" w:rsidRDefault="0075590E" w:rsidP="00BE397A"/>
    <w:p w14:paraId="47D065B1" w14:textId="50E2D382" w:rsidR="0075590E" w:rsidRDefault="0075590E" w:rsidP="00BE397A">
      <w:r w:rsidRPr="0075590E">
        <w:t>In 2005, the term ESG officially first appeared at the "Who Cares Win" meeting involving investors, analysts, and government agencies (Kim and Park, 2021). It was a paradigm shift</w:t>
      </w:r>
      <w:r>
        <w:t>. Albeit, even before that, there were similar concepts that pointed towards the same thing - d</w:t>
      </w:r>
      <w:r w:rsidRPr="0075590E">
        <w:t>emands for ESG management are gradually interesting as the scope of stakeholders surrounding companies is more comprehensive than in the past (Berman et al., 1999)</w:t>
      </w:r>
      <w:r>
        <w:t>. The 2005 meeting had the effect of formalising these initiatives and this premise into a term.</w:t>
      </w:r>
    </w:p>
    <w:p w14:paraId="28D90668" w14:textId="28D79801" w:rsidR="00730C52" w:rsidRDefault="00730C52" w:rsidP="00BE397A"/>
    <w:p w14:paraId="71EF1821" w14:textId="5716049C" w:rsidR="00730C52" w:rsidRDefault="00730C52" w:rsidP="00BE397A">
      <w:r>
        <w:t xml:space="preserve">Jin (2022) observed that ESG encourages </w:t>
      </w:r>
      <w:r w:rsidRPr="00730C52">
        <w:t>investors and companies for a long-term interest and returns</w:t>
      </w:r>
      <w:r>
        <w:t xml:space="preserve">. It Is driven by external factors – rather than market failure, it is investors’ interest and concerns about whether a company is a sustainable company. ESG disclosures plays a role in exhibiting how the company responds to risk that </w:t>
      </w:r>
      <w:r w:rsidR="00B123B6">
        <w:t xml:space="preserve">may </w:t>
      </w:r>
      <w:r>
        <w:t>undermine its long-term viability.</w:t>
      </w:r>
    </w:p>
    <w:p w14:paraId="687FE75E" w14:textId="77777777" w:rsidR="0075590E" w:rsidRDefault="0075590E" w:rsidP="00BE397A"/>
    <w:p w14:paraId="5BAC7859" w14:textId="20DA0F0B" w:rsidR="0049007F" w:rsidRDefault="0049007F" w:rsidP="00BE397A">
      <w:r>
        <w:t>Some attempts to discuss ESG include the following:</w:t>
      </w:r>
    </w:p>
    <w:p w14:paraId="3D1850A9" w14:textId="68DB43FA" w:rsidR="0049007F" w:rsidRDefault="0049007F" w:rsidP="00BE397A"/>
    <w:p w14:paraId="5AD1B28A" w14:textId="3C9551CE" w:rsidR="00737A15" w:rsidRDefault="0049007F" w:rsidP="000470ED">
      <w:pPr>
        <w:pStyle w:val="ListParagraph"/>
        <w:numPr>
          <w:ilvl w:val="0"/>
          <w:numId w:val="18"/>
        </w:numPr>
      </w:pPr>
      <w:r w:rsidRPr="0049007F">
        <w:t>The concept of CSR</w:t>
      </w:r>
      <w:r w:rsidR="00737A15">
        <w:t xml:space="preserve"> </w:t>
      </w:r>
      <w:r w:rsidRPr="0049007F">
        <w:t>- although confusing</w:t>
      </w:r>
      <w:r w:rsidR="00737A15">
        <w:t xml:space="preserve"> </w:t>
      </w:r>
      <w:r w:rsidRPr="0049007F">
        <w:t xml:space="preserve">- could be framed as a combination of three main  components which are: Environmental, Social and Governance </w:t>
      </w:r>
      <w:r w:rsidRPr="0049007F">
        <w:lastRenderedPageBreak/>
        <w:t>(Hansmann et al., 2012). These components are exactly what the ESG acronym stands for, thus identifying a possible measurement tool for a concept that still seems so abstract</w:t>
      </w:r>
      <w:r w:rsidR="005939EF">
        <w:t>.</w:t>
      </w:r>
    </w:p>
    <w:p w14:paraId="47701078" w14:textId="20A822D7" w:rsidR="001637D5" w:rsidRPr="0049007F" w:rsidRDefault="001637D5" w:rsidP="001637D5">
      <w:pPr>
        <w:pStyle w:val="ListParagraph"/>
        <w:numPr>
          <w:ilvl w:val="0"/>
          <w:numId w:val="18"/>
        </w:numPr>
      </w:pPr>
      <w:r w:rsidRPr="001637D5">
        <w:t>Different sectors have different priorities, and ESG lacks any single definition of what should be included, but linking ESG to compliance reporting provides some opportunity for science-based metrics</w:t>
      </w:r>
      <w:r>
        <w:t xml:space="preserve"> (Rodgers et al., 2013).</w:t>
      </w:r>
    </w:p>
    <w:p w14:paraId="116FC02E" w14:textId="6CC231C9" w:rsidR="005939EF" w:rsidRDefault="00737A15" w:rsidP="000470ED">
      <w:pPr>
        <w:pStyle w:val="ListParagraph"/>
        <w:numPr>
          <w:ilvl w:val="0"/>
          <w:numId w:val="18"/>
        </w:numPr>
      </w:pPr>
      <w:r>
        <w:t>ESG is a corporate responsibility that encompasses not only traditional financial factors by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7E6BF1A2" w:rsidR="00A256C0" w:rsidRDefault="00A256C0" w:rsidP="000470ED">
      <w:pPr>
        <w:pStyle w:val="ListParagraph"/>
        <w:numPr>
          <w:ilvl w:val="0"/>
          <w:numId w:val="18"/>
        </w:numPr>
      </w:pPr>
      <w:r>
        <w:t xml:space="preserve">MSCI (2021) observed that </w:t>
      </w:r>
      <w:r w:rsidRPr="00A256C0">
        <w:t>ESG investment as a term that is often used synonymously with sustainable investment, social responsibility investment, mission-related investment, or screening</w:t>
      </w:r>
      <w:r>
        <w:t>.</w:t>
      </w:r>
    </w:p>
    <w:p w14:paraId="0E21C812" w14:textId="5F3FE20E" w:rsidR="000470ED" w:rsidRDefault="000470ED" w:rsidP="000470ED">
      <w:pPr>
        <w:pStyle w:val="ListParagraph"/>
        <w:numPr>
          <w:ilvl w:val="0"/>
          <w:numId w:val="18"/>
        </w:numPr>
      </w:pPr>
      <w:r>
        <w:t xml:space="preserve">ESG </w:t>
      </w:r>
      <w:r w:rsidRPr="000470ED">
        <w:t>sets specific criteria to define environmental, social, and governance systems as sustainable. ESG points to a specific set of criteria that remove the ambiguity surrounding the term sustainability</w:t>
      </w:r>
      <w:r>
        <w:t xml:space="preserve"> (Green Business Bureau, 2021).</w:t>
      </w:r>
    </w:p>
    <w:p w14:paraId="509AC1C1" w14:textId="77777777" w:rsidR="001C07B9" w:rsidRDefault="001C07B9" w:rsidP="005939EF">
      <w:pPr>
        <w:ind w:left="360"/>
      </w:pPr>
    </w:p>
    <w:p w14:paraId="71E0D8B2" w14:textId="6DDDFCBB" w:rsidR="005939EF" w:rsidRDefault="001C07B9" w:rsidP="001C07B9">
      <w:r>
        <w:t>Not all aspects of ‘E’, ‘S’, and ‘G’ are priorities for all companies</w:t>
      </w:r>
      <w:r w:rsidR="00A570AF">
        <w:t xml:space="preserve">. It is unrealistic to expect that companies do not have to make hard </w:t>
      </w:r>
      <w:r w:rsidR="00A570AF" w:rsidRPr="00A570AF">
        <w:t>trade-offs within and among ESG dimensions, or that they can lead on every topic.</w:t>
      </w:r>
      <w:r w:rsidR="00A570AF">
        <w:t xml:space="preserve"> This hints at why in the initial phases of sustainability disclosure, companies chose only to disclose on a limited range of topics – on issues which they had information on, or were of immediate interest to their stakeholders in the area which they operate in</w:t>
      </w:r>
      <w:r w:rsidR="00A834D5">
        <w:t xml:space="preserve"> (</w:t>
      </w:r>
      <w:r w:rsidR="00A834D5" w:rsidRPr="00A834D5">
        <w:t>Pérez</w:t>
      </w:r>
      <w:r w:rsidR="00A834D5">
        <w:t xml:space="preserve"> et al., 2022)</w:t>
      </w:r>
      <w:r w:rsidR="00A570AF">
        <w:t>.</w:t>
      </w:r>
      <w:r w:rsidR="005939EF">
        <w:t xml:space="preserve"> </w:t>
      </w:r>
      <w:r w:rsidR="005939EF" w:rsidRPr="007C501A">
        <w:rPr>
          <w:b/>
          <w:bCs/>
          <w:highlight w:val="yellow"/>
        </w:rPr>
        <w:t>Figure (x)</w:t>
      </w:r>
      <w:r w:rsidR="005939EF">
        <w:t xml:space="preserve"> and </w:t>
      </w:r>
      <w:r w:rsidR="005939EF" w:rsidRPr="007C501A">
        <w:rPr>
          <w:b/>
          <w:bCs/>
          <w:highlight w:val="yellow"/>
        </w:rPr>
        <w:t>Figure (x)</w:t>
      </w:r>
      <w:r w:rsidR="005939EF">
        <w:t xml:space="preserve"> drives the idea that ESG is a process, not an outcome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lastRenderedPageBreak/>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5040000" cy="3258746"/>
                    </a:xfrm>
                    <a:prstGeom prst="rect">
                      <a:avLst/>
                    </a:prstGeom>
                  </pic:spPr>
                </pic:pic>
              </a:graphicData>
            </a:graphic>
          </wp:inline>
        </w:drawing>
      </w:r>
    </w:p>
    <w:p w14:paraId="0A8B4CA0" w14:textId="3384833D" w:rsidR="001829CE" w:rsidRDefault="001829CE" w:rsidP="001829CE">
      <w:pPr>
        <w:pStyle w:val="Caption"/>
      </w:pPr>
      <w:bookmarkStart w:id="8" w:name="_Toc113789623"/>
      <w:r>
        <w:t xml:space="preserve">Figure </w:t>
      </w:r>
      <w:fldSimple w:instr=" SEQ Figure \* ARABIC ">
        <w:r w:rsidR="00742778">
          <w:rPr>
            <w:noProof/>
          </w:rPr>
          <w:t>2</w:t>
        </w:r>
      </w:fldSimple>
      <w:r>
        <w:t xml:space="preserve">: An ESG Journey of a Company </w:t>
      </w:r>
      <w:r w:rsidRPr="001829CE">
        <w:t>(Pérez et al., 2022)</w:t>
      </w:r>
      <w:bookmarkEnd w:id="8"/>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0"/>
                    <a:stretch>
                      <a:fillRect/>
                    </a:stretch>
                  </pic:blipFill>
                  <pic:spPr>
                    <a:xfrm>
                      <a:off x="0" y="0"/>
                      <a:ext cx="5040000" cy="3162704"/>
                    </a:xfrm>
                    <a:prstGeom prst="rect">
                      <a:avLst/>
                    </a:prstGeom>
                  </pic:spPr>
                </pic:pic>
              </a:graphicData>
            </a:graphic>
          </wp:inline>
        </w:drawing>
      </w:r>
    </w:p>
    <w:p w14:paraId="1805E352" w14:textId="51CBA036" w:rsidR="001829CE" w:rsidRPr="001829CE" w:rsidRDefault="001829CE" w:rsidP="00C9396B">
      <w:pPr>
        <w:pStyle w:val="Caption"/>
      </w:pPr>
      <w:bookmarkStart w:id="9" w:name="_Toc113789624"/>
      <w:r>
        <w:t xml:space="preserve">Figure </w:t>
      </w:r>
      <w:fldSimple w:instr=" SEQ Figure \* ARABIC ">
        <w:r w:rsidR="00742778">
          <w:rPr>
            <w:noProof/>
          </w:rPr>
          <w:t>3</w:t>
        </w:r>
      </w:fldSimple>
      <w:r>
        <w:t>: Three levels of ambition in ESG for companies</w:t>
      </w:r>
      <w:r w:rsidR="00C9396B">
        <w:t xml:space="preserve"> </w:t>
      </w:r>
      <w:r w:rsidR="00C9396B" w:rsidRPr="001829CE">
        <w:t>(Pérez et al., 2022)</w:t>
      </w:r>
      <w:bookmarkEnd w:id="9"/>
    </w:p>
    <w:p w14:paraId="035DECCF" w14:textId="17D37B0B" w:rsidR="0049007F" w:rsidRDefault="0049007F" w:rsidP="00BE397A"/>
    <w:p w14:paraId="3CFEE658" w14:textId="216996DB" w:rsidR="00BE397A" w:rsidRDefault="00796C9A" w:rsidP="00BE397A">
      <w:r>
        <w:t>Research into CSR has demonstrated that the relationship between corporate environmental, social, and economic performance (Brogi and Lagasio, 2019; Chowdhury et al., 2019; Taliento et al., 2019). There is e</w:t>
      </w:r>
      <w:r w:rsidR="00BE397A">
        <w:t>mpirical evidence</w:t>
      </w:r>
      <w:r>
        <w:t xml:space="preserve"> to</w:t>
      </w:r>
      <w:r w:rsidR="00BE397A">
        <w:t xml:space="preserve"> suggest</w:t>
      </w:r>
      <w:r>
        <w:t xml:space="preserve"> </w:t>
      </w:r>
      <w:r>
        <w:lastRenderedPageBreak/>
        <w:t>that</w:t>
      </w:r>
      <w:r w:rsidR="00BE397A">
        <w:t xml:space="preserve"> companies with a focus on social, economic, and environmental issues will gain a competitive advantage and have a credible reputation and public opinion (</w:t>
      </w:r>
      <w:r w:rsidR="00BE397A" w:rsidRPr="00BE397A">
        <w:t xml:space="preserve">Pechancová </w:t>
      </w:r>
      <w:r w:rsidR="00BE397A">
        <w:t>et al. 2019; Fatoki, 2019).</w:t>
      </w:r>
      <w:r w:rsidR="00CA2121">
        <w:t xml:space="preserve"> These three factors are interconnected and tackling these factors in tandem assures long-term sustainability (Pirnea et al., 2011).</w:t>
      </w:r>
    </w:p>
    <w:p w14:paraId="6ACD2101" w14:textId="5A780E36" w:rsidR="007028F3" w:rsidRDefault="007028F3" w:rsidP="00BE397A"/>
    <w:p w14:paraId="4AC6085B" w14:textId="1994C1DE" w:rsidR="007028F3" w:rsidRDefault="007028F3" w:rsidP="00BE397A">
      <w:r w:rsidRPr="007028F3">
        <w:t>Pérez</w:t>
      </w:r>
      <w:r>
        <w:t xml:space="preserve"> et al. (2022) suggests that a company’s decision making and shift towards sustainability can be approached with either ‘high jumps’ or ‘long jumps. The former </w:t>
      </w:r>
      <w:r w:rsidR="00B3040B">
        <w:t xml:space="preserve">refers to levels companies must reach to meet its arbitrary ESG bar – the gap between where it is and where society expects it to be. Whereas the latter refers to one </w:t>
      </w:r>
      <w:r w:rsidR="00B3040B" w:rsidRPr="00B3040B">
        <w:t>or two ESG areas where the company can take a leadership role and affect other players in its ecosystem and beyond.</w:t>
      </w:r>
      <w:r w:rsidR="00B3040B">
        <w:t xml:space="preserve"> </w:t>
      </w:r>
      <w:r w:rsidR="00B3040B" w:rsidRPr="00B3040B">
        <w:t>Pérez et al. (2022)</w:t>
      </w:r>
      <w:r w:rsidR="00B3040B">
        <w:t xml:space="preserve"> posits that these two elements are necessary for companies looking to build a competitive advantage.</w:t>
      </w:r>
    </w:p>
    <w:p w14:paraId="41217F4D" w14:textId="77777777" w:rsidR="005C71F5" w:rsidRDefault="005C71F5" w:rsidP="00BE397A"/>
    <w:p w14:paraId="6FD81712" w14:textId="77777777" w:rsidR="00C41C2B" w:rsidRPr="00B02A1E" w:rsidRDefault="00C41C2B" w:rsidP="00C41C2B">
      <w:pPr>
        <w:pStyle w:val="Heading2"/>
      </w:pPr>
      <w:bookmarkStart w:id="10" w:name="_Toc113806102"/>
      <w:r>
        <w:t>The Friedman Doctrine</w:t>
      </w:r>
      <w:bookmarkEnd w:id="10"/>
    </w:p>
    <w:p w14:paraId="4FFA0918" w14:textId="77777777" w:rsidR="00C41C2B" w:rsidRDefault="00C41C2B" w:rsidP="00C41C2B"/>
    <w:p w14:paraId="117E0843" w14:textId="3CFE8866" w:rsidR="00C41C2B" w:rsidRDefault="00C41C2B" w:rsidP="00BE397A">
      <w:r>
        <w:t>The traditional view of a company’s obligation to its shareholders is described in the Friedman Doctrine. Friedman said that the essential purpose of a company is to maximise profits (Friedman, 1970).</w:t>
      </w:r>
    </w:p>
    <w:p w14:paraId="0BC38966" w14:textId="677AC773" w:rsidR="00C41C2B" w:rsidRDefault="00C41C2B" w:rsidP="00BE397A"/>
    <w:p w14:paraId="44B7F38A" w14:textId="026EB266" w:rsidR="006D1011" w:rsidRDefault="00C41C2B" w:rsidP="00BE397A">
      <w:r>
        <w:t>He held the view that CSG and ESG activities should be minimised as much as possible.</w:t>
      </w:r>
      <w:r w:rsidR="0041626F">
        <w:t xml:space="preserve"> Weidenbaum and Vogt (1987) outlined that a company’s decision-making for the environment, society and governance, not for shareholders’ interests, is a factor that hinders corporate performance by incurring opportunity costs.</w:t>
      </w:r>
      <w:r>
        <w:t xml:space="preserve">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w:t>
      </w:r>
      <w:r w:rsidR="0041626F">
        <w:t xml:space="preserve"> This is a stark contrast to the current view held, which is outlined in the next section that discusses the developments in societies and companies’ perspectives of CSR.</w:t>
      </w:r>
    </w:p>
    <w:p w14:paraId="6BBEA0D5" w14:textId="0B2D0AEA" w:rsidR="00AC4FCC" w:rsidRDefault="00AC4FCC" w:rsidP="00BE397A"/>
    <w:p w14:paraId="5A085D0B" w14:textId="4E91FE0C" w:rsidR="00AC4FCC" w:rsidRDefault="00AC4FCC" w:rsidP="00BE397A">
      <w:r>
        <w:t>Separately, he held the few that it is the State, and not companies, that has a moral and social responsibility towards society.</w:t>
      </w:r>
    </w:p>
    <w:p w14:paraId="51CBF3FE" w14:textId="298DB135" w:rsidR="005C71F5" w:rsidRDefault="005C71F5" w:rsidP="005C71F5">
      <w:pPr>
        <w:pStyle w:val="Heading3"/>
      </w:pPr>
      <w:bookmarkStart w:id="11" w:name="_Toc113806103"/>
      <w:r>
        <w:lastRenderedPageBreak/>
        <w:t>A Rebuke: Strategic Corporate Social Responsibility</w:t>
      </w:r>
      <w:bookmarkEnd w:id="11"/>
    </w:p>
    <w:p w14:paraId="3BD40D4E" w14:textId="6FB28D9A" w:rsidR="005C71F5" w:rsidRDefault="005C71F5" w:rsidP="00BE397A">
      <w:r>
        <w:t xml:space="preserve">Chandler (2016) held </w:t>
      </w:r>
      <w:r w:rsidR="00BE24BA">
        <w:t>that f</w:t>
      </w:r>
      <w:r w:rsidR="00BE24BA" w:rsidRPr="00BE24BA">
        <w:t>irms should focus on what they can do best with the aim at optimisation and creation o</w:t>
      </w:r>
      <w:r w:rsidR="00BE24BA">
        <w:t xml:space="preserve">f </w:t>
      </w:r>
      <w:r w:rsidR="00BE24BA" w:rsidRPr="00BE24BA">
        <w:t>value rather than the maximisation of profit</w:t>
      </w:r>
      <w:r w:rsidR="00BE24BA">
        <w:t>s. This starts with an incorporation of the CSR perspective into a company’s strategic planning process and corporate culture. A difference in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and mid- and long-term planning</w:t>
      </w:r>
      <w:r w:rsidR="004861B4">
        <w:t xml:space="preserve"> (Chandler and Werther, 2013).</w:t>
      </w:r>
    </w:p>
    <w:p w14:paraId="73EFDCEC" w14:textId="53FB3F72" w:rsidR="00BE24BA" w:rsidRDefault="00BE24BA" w:rsidP="00BE397A"/>
    <w:p w14:paraId="4F719F76" w14:textId="4EDD3169" w:rsidR="005C71F5" w:rsidRDefault="00BE24BA" w:rsidP="00BE397A">
      <w:r>
        <w:t>The development of the business environment’s view on CSR is a journey, and is discussed in the next section.</w:t>
      </w:r>
    </w:p>
    <w:p w14:paraId="2D0484EE" w14:textId="216C60B3" w:rsidR="00B97D94" w:rsidRDefault="00B97D94" w:rsidP="00BE397A"/>
    <w:p w14:paraId="064C8F0D" w14:textId="5959CEC8" w:rsidR="00BE397A" w:rsidRDefault="00B97D94" w:rsidP="004B328A">
      <w:pPr>
        <w:pStyle w:val="Heading2"/>
      </w:pPr>
      <w:bookmarkStart w:id="12" w:name="_Toc113806104"/>
      <w:r>
        <w:t>History of Corporate Social Responsibility</w:t>
      </w:r>
      <w:bookmarkEnd w:id="12"/>
    </w:p>
    <w:p w14:paraId="5CCE9295" w14:textId="14EE0F8C" w:rsidR="00D801DF" w:rsidRDefault="00D801DF" w:rsidP="00CE5031"/>
    <w:p w14:paraId="36019118" w14:textId="62616E3D" w:rsidR="00F22D21" w:rsidRDefault="000A318B" w:rsidP="00CE5031">
      <w:r>
        <w:t>The philosophy and premise behind CSR have been shaped by global developments. This section attempts to outline historical developments that have led up to the understanding that institutions and stakeholders face on CSR in its present form in the 2020s. Global events, and the efficacy of CSR initiatives, have shifted the perception of CSR from being viewed as a trade-off to one that provides a strategic advantage for companies.</w:t>
      </w:r>
      <w:r w:rsidR="00B3389B">
        <w:t xml:space="preserve"> An overarching view was that CSR remained an essential element of corporate response to assorted social needs (Jamali, 2008), and was taken as a method of taking on social responsibility in consideration of the impact of its operations on stakeholders and a way of gaining society’s trust (Panait et al., 2014). The key driver of CSR development is events that shaped the world and changing expectations of stakeholders. </w:t>
      </w:r>
    </w:p>
    <w:p w14:paraId="4ECEF473" w14:textId="7484B4E5" w:rsidR="00F22D21" w:rsidRDefault="00F22D21" w:rsidP="00CE5031"/>
    <w:p w14:paraId="1C7B2337" w14:textId="699599C2" w:rsidR="00F22D21" w:rsidRDefault="00F22D21" w:rsidP="00CE5031">
      <w:r>
        <w:t>The board of directors also has a significant piece in the morphing of CSR. The board is responsible for corporate strategies, culture, governance, and approves major decisions (Basel Committee, 2015). In turn their decisions has a significant influence on the success or failure of company (</w:t>
      </w:r>
      <w:r w:rsidRPr="00F22D21">
        <w:rPr>
          <w:rFonts w:hint="eastAsia"/>
        </w:rPr>
        <w:t>Garc</w:t>
      </w:r>
      <w:r w:rsidRPr="00F22D21">
        <w:rPr>
          <w:rFonts w:hint="eastAsia"/>
        </w:rPr>
        <w:t>í</w:t>
      </w:r>
      <w:r w:rsidRPr="00F22D21">
        <w:rPr>
          <w:rFonts w:hint="eastAsia"/>
        </w:rPr>
        <w:t>a</w:t>
      </w:r>
      <w:r w:rsidRPr="00F22D21">
        <w:rPr>
          <w:rFonts w:hint="eastAsia"/>
        </w:rPr>
        <w:t>‐</w:t>
      </w:r>
      <w:r w:rsidRPr="00F22D21">
        <w:rPr>
          <w:rFonts w:hint="eastAsia"/>
        </w:rPr>
        <w:t>S</w:t>
      </w:r>
      <w:r w:rsidRPr="00F22D21">
        <w:rPr>
          <w:rFonts w:hint="eastAsia"/>
        </w:rPr>
        <w:t>á</w:t>
      </w:r>
      <w:r w:rsidRPr="00F22D21">
        <w:rPr>
          <w:rFonts w:hint="eastAsia"/>
        </w:rPr>
        <w:t>nchez et al., 2018</w:t>
      </w:r>
      <w:r>
        <w:t xml:space="preserve">). Empirical </w:t>
      </w:r>
      <w:r>
        <w:lastRenderedPageBreak/>
        <w:t>evidence suggested that various characteristics – gender diversity, independent, and presence of an ESG committee – have an influence on the CSR performance (Kyaw et al., 2017). The shapers of CSR are boards that are more diverse, independent, naturally more focused on ESG with an ESG management committee.</w:t>
      </w:r>
      <w:r w:rsidR="00E71116">
        <w:t xml:space="preserve"> </w:t>
      </w:r>
      <w:r w:rsidR="00E71116" w:rsidRPr="00E71116">
        <w:t>Stakeholder demands are shifting, and these shifts can over time dramatically affect competitive dynamics</w:t>
      </w:r>
      <w:r w:rsidR="00E71116">
        <w:t xml:space="preserve"> (</w:t>
      </w:r>
      <w:r w:rsidR="00E71116" w:rsidRPr="00E71116">
        <w:t>Pérez</w:t>
      </w:r>
      <w:r w:rsidR="00E71116">
        <w:t>, 2022)</w:t>
      </w:r>
      <w:r w:rsidR="00E71116" w:rsidRPr="00E71116">
        <w:t>.</w:t>
      </w:r>
    </w:p>
    <w:p w14:paraId="70615E09" w14:textId="58B2D918" w:rsidR="00F22D21" w:rsidRDefault="00F22D21" w:rsidP="00CE5031"/>
    <w:p w14:paraId="603F4A54" w14:textId="1779184A" w:rsidR="00F22D21" w:rsidRDefault="00F22D21" w:rsidP="00CE5031">
      <w:r>
        <w:t>Because financing is a key component which drives business development – the financial industry was expected to play a leading role in allowing other industries to conduct ESG management through the way it structures and requests for information for its financial services and investment products.</w:t>
      </w:r>
    </w:p>
    <w:p w14:paraId="3E369D1B" w14:textId="77777777" w:rsidR="00F22D21" w:rsidRDefault="00F22D21" w:rsidP="00CE5031"/>
    <w:p w14:paraId="745463EA" w14:textId="3B02AADB" w:rsidR="00F075BA" w:rsidRDefault="00F075BA" w:rsidP="00CE5031">
      <w:r>
        <w:t>The</w:t>
      </w:r>
      <w:r w:rsidR="00B3389B">
        <w:t>se</w:t>
      </w:r>
      <w:r>
        <w:t xml:space="preserve"> developments are highlighted by </w:t>
      </w:r>
      <w:r w:rsidR="00B3389B">
        <w:t>period</w:t>
      </w:r>
      <w:r>
        <w:t>:</w:t>
      </w:r>
    </w:p>
    <w:p w14:paraId="6C7A24B4" w14:textId="24DEFF6F" w:rsidR="00F075BA" w:rsidRDefault="00F075BA" w:rsidP="00CE5031"/>
    <w:p w14:paraId="19FA0A7C" w14:textId="49E0B757" w:rsidR="00F075BA" w:rsidRDefault="004D3196" w:rsidP="00AE60CE">
      <w:pPr>
        <w:pStyle w:val="ListParagraph"/>
        <w:numPr>
          <w:ilvl w:val="0"/>
          <w:numId w:val="14"/>
        </w:numPr>
      </w:pPr>
      <w:r w:rsidRPr="00AE60CE">
        <w:rPr>
          <w:b/>
          <w:bCs/>
          <w:u w:val="single"/>
        </w:rPr>
        <w:t>1940s</w:t>
      </w:r>
      <w:r>
        <w:t xml:space="preserve">: During World War II, companies’ growth </w:t>
      </w:r>
      <w:r w:rsidRPr="004D3196">
        <w:t>and political instability led corporations to be seen as institutions with social relevance, and the first discussions on corporate social responsibility were coming to life (Heald, 1970)</w:t>
      </w:r>
      <w:r>
        <w:t>.</w:t>
      </w:r>
    </w:p>
    <w:p w14:paraId="4CE653BB" w14:textId="3B26FF95" w:rsidR="004D3196" w:rsidRDefault="004D3196" w:rsidP="00CE5031"/>
    <w:p w14:paraId="6227B804" w14:textId="547A786A" w:rsidR="004D3196" w:rsidRDefault="004D3196" w:rsidP="00AE60CE">
      <w:pPr>
        <w:pStyle w:val="ListParagraph"/>
        <w:numPr>
          <w:ilvl w:val="0"/>
          <w:numId w:val="14"/>
        </w:numPr>
      </w:pPr>
      <w:r w:rsidRPr="00AE60CE">
        <w:rPr>
          <w:b/>
          <w:bCs/>
          <w:u w:val="single"/>
        </w:rPr>
        <w:t>1960s</w:t>
      </w:r>
      <w:r>
        <w:t>:</w:t>
      </w:r>
      <w:r w:rsidR="00645374">
        <w:t xml:space="preserve"> Particularly in the United States, this decade marked years of protests, sit-ins, and walk-outs by students and rallies</w:t>
      </w:r>
      <w:r w:rsidR="00B62D6B">
        <w:t xml:space="preserve"> – most notably, the anti-apartheid and civil rights movements which demonstrated how people power could dramatically affect businesses.</w:t>
      </w:r>
      <w:r w:rsidR="00645374">
        <w:t xml:space="preserve">  B</w:t>
      </w:r>
      <w:r w:rsidR="00645374" w:rsidRPr="00645374">
        <w:t>ig companies played a role similar to decision making organi</w:t>
      </w:r>
      <w:r w:rsidR="00645374">
        <w:t>s</w:t>
      </w:r>
      <w:r w:rsidR="00645374" w:rsidRPr="00645374">
        <w:t>ations</w:t>
      </w:r>
      <w:r w:rsidR="00645374">
        <w:t xml:space="preserve"> as their actions</w:t>
      </w:r>
      <w:r w:rsidR="00645374" w:rsidRPr="00645374">
        <w:t xml:space="preserve"> began to influence the society, they operate</w:t>
      </w:r>
      <w:r w:rsidR="00645374">
        <w:t xml:space="preserve"> in</w:t>
      </w:r>
      <w:r w:rsidR="00645374" w:rsidRPr="00645374">
        <w:t>.</w:t>
      </w:r>
    </w:p>
    <w:p w14:paraId="1F7C9921" w14:textId="0A0B5285" w:rsidR="00B16D3A" w:rsidRDefault="00B16D3A" w:rsidP="00CE5031"/>
    <w:p w14:paraId="6F696F63" w14:textId="48765912" w:rsidR="00B16D3A" w:rsidRDefault="00B16D3A" w:rsidP="00B62D6B">
      <w:pPr>
        <w:pStyle w:val="ListParagraph"/>
      </w:pPr>
      <w:r>
        <w:t>CSR was a response to labour-management conflict. This was exacerbated by a change in the artisan’s work model towards mass production in tandem with the industrial revolution. The capital</w:t>
      </w:r>
      <w:r w:rsidR="0003287C">
        <w:t>ist model had neglected behaviour that caused corporate human and labour rights infringement (Jenkins, 2009).</w:t>
      </w:r>
      <w:r w:rsidR="0098660E">
        <w:t xml:space="preserve"> There have been calls for responsible actions by companies concerning social aspects (</w:t>
      </w:r>
      <w:r w:rsidR="0098660E" w:rsidRPr="0098660E">
        <w:t>Gomez-Carrasco et al., 2016</w:t>
      </w:r>
      <w:r w:rsidR="0098660E">
        <w:t>).</w:t>
      </w:r>
    </w:p>
    <w:p w14:paraId="481D095D" w14:textId="1CFD076F" w:rsidR="00645374" w:rsidRDefault="00645374" w:rsidP="00CE5031"/>
    <w:p w14:paraId="52A1238E" w14:textId="77777777" w:rsidR="000223D2" w:rsidRDefault="00645374" w:rsidP="00AE60CE">
      <w:pPr>
        <w:pStyle w:val="ListParagraph"/>
        <w:numPr>
          <w:ilvl w:val="0"/>
          <w:numId w:val="14"/>
        </w:numPr>
      </w:pPr>
      <w:r w:rsidRPr="00AE60CE">
        <w:rPr>
          <w:b/>
          <w:bCs/>
          <w:u w:val="single"/>
        </w:rPr>
        <w:t>1970s</w:t>
      </w:r>
      <w:r>
        <w:t>:</w:t>
      </w:r>
      <w:r w:rsidR="0089477A">
        <w:t xml:space="preserve"> This marked an era of “managing corporate social responsibility” (Carroll, 2015). The first Earth Day was celebrated in 1970 in response to the 1969 oil spill in Santa Barbara. The scale and dramatic event changed the faith of society in companies and regulatory frameworks. This later influenced corporations’ behaviour and responsibilities towards society (Clarke and Hemphill, 2002; Spezio, 2018).</w:t>
      </w:r>
      <w:r w:rsidR="00F84DEA">
        <w:t xml:space="preserve"> </w:t>
      </w:r>
    </w:p>
    <w:p w14:paraId="7ECF9C38" w14:textId="77777777" w:rsidR="000223D2" w:rsidRDefault="000223D2" w:rsidP="00CE5031"/>
    <w:p w14:paraId="3212EE37" w14:textId="0D579AD5" w:rsidR="00645374" w:rsidRDefault="00F84DEA" w:rsidP="00AE60CE">
      <w:pPr>
        <w:pStyle w:val="ListParagraph"/>
        <w:numPr>
          <w:ilvl w:val="0"/>
          <w:numId w:val="14"/>
        </w:numPr>
      </w:pPr>
      <w:r>
        <w:t xml:space="preserve">In academia, a framework was also </w:t>
      </w:r>
      <w:r w:rsidR="000223D2">
        <w:t>proposed rate firms as ‘outstanding’, ‘honourable mention’, or ‘worst’ by way of exploring the relationship between CSR and financial performance (Moskowitz, 1972; Moskowitz, 1975).</w:t>
      </w:r>
    </w:p>
    <w:p w14:paraId="74DB8E3B" w14:textId="25EC57C2" w:rsidR="00784E7E" w:rsidRDefault="00784E7E" w:rsidP="00CE5031"/>
    <w:p w14:paraId="76EF7DB9" w14:textId="345E857B" w:rsidR="00784E7E" w:rsidRDefault="00784E7E" w:rsidP="00AE60CE">
      <w:pPr>
        <w:pStyle w:val="ListParagraph"/>
        <w:numPr>
          <w:ilvl w:val="0"/>
          <w:numId w:val="14"/>
        </w:numPr>
      </w:pPr>
      <w:r w:rsidRPr="00AE60CE">
        <w:rPr>
          <w:b/>
          <w:bCs/>
          <w:u w:val="single"/>
        </w:rPr>
        <w:t>1980s</w:t>
      </w:r>
      <w:r>
        <w:t xml:space="preserve">: Concerns </w:t>
      </w:r>
      <w:r w:rsidRPr="00784E7E">
        <w:t>about environmental influence from human behaviour, began to emerge (Salvioli, 2000).</w:t>
      </w:r>
      <w:r w:rsidR="00823494">
        <w:t xml:space="preserve"> </w:t>
      </w:r>
      <w:r w:rsidR="00823494" w:rsidRPr="00823494">
        <w:t>The goal of CSR policy</w:t>
      </w:r>
      <w:r w:rsidR="00823494">
        <w:t xml:space="preserve"> morphed to focus on</w:t>
      </w:r>
      <w:r w:rsidR="00823494" w:rsidRPr="00823494">
        <w:t xml:space="preserve"> improv</w:t>
      </w:r>
      <w:r w:rsidR="00823494">
        <w:t xml:space="preserve">ing </w:t>
      </w:r>
      <w:r w:rsidR="00823494" w:rsidRPr="00823494">
        <w:t>companies' image and reputation</w:t>
      </w:r>
      <w:r w:rsidR="00823494">
        <w:t xml:space="preserve">, and to </w:t>
      </w:r>
      <w:r w:rsidR="00823494" w:rsidRPr="00823494">
        <w:t>secure social justification to practice (Carrol, 2008).</w:t>
      </w:r>
    </w:p>
    <w:p w14:paraId="1A7E2CBC" w14:textId="7586F6AB" w:rsidR="009E44A9" w:rsidRDefault="009E44A9" w:rsidP="00CE5031"/>
    <w:p w14:paraId="46A8DC94" w14:textId="7F5BBD40" w:rsidR="00737A15" w:rsidRDefault="009E44A9" w:rsidP="00B62D6B">
      <w:pPr>
        <w:pStyle w:val="ListParagraph"/>
        <w:numPr>
          <w:ilvl w:val="0"/>
          <w:numId w:val="14"/>
        </w:numPr>
      </w:pPr>
      <w:r w:rsidRPr="00B62D6B">
        <w:rPr>
          <w:b/>
          <w:bCs/>
          <w:u w:val="single"/>
        </w:rPr>
        <w:t>1990s</w:t>
      </w:r>
      <w:r>
        <w:t>: The last decade of the 20</w:t>
      </w:r>
      <w:r w:rsidRPr="00B62D6B">
        <w:rPr>
          <w:vertAlign w:val="superscript"/>
        </w:rPr>
        <w:t>th</w:t>
      </w:r>
      <w:r>
        <w:t xml:space="preserve"> </w:t>
      </w:r>
      <w:r w:rsidR="008145E7">
        <w:t>century marked the beginning of the institutionalisation of CSR. This trend was sustained by globalisation and increased prominence of multinational firms.</w:t>
      </w:r>
      <w:r w:rsidR="00737A15">
        <w:t xml:space="preserve"> </w:t>
      </w:r>
      <w:r w:rsidR="00B62D6B">
        <w:t>An a</w:t>
      </w:r>
      <w:r w:rsidR="00B62D6B" w:rsidRPr="00B62D6B">
        <w:t>wareness of supply chains and international labour practices became the focus and CSR focused on a combination of profit, social good, and anti-slavery commitments.</w:t>
      </w:r>
      <w:r w:rsidR="00B62D6B">
        <w:t xml:space="preserve"> </w:t>
      </w:r>
      <w:r w:rsidR="00737A15">
        <w:t xml:space="preserve">Albeit there was much resistance as these trends began to take flight. </w:t>
      </w:r>
    </w:p>
    <w:p w14:paraId="5722E8F7" w14:textId="77777777" w:rsidR="00737A15" w:rsidRDefault="00737A15" w:rsidP="00737A15">
      <w:pPr>
        <w:pStyle w:val="ListParagraph"/>
      </w:pPr>
    </w:p>
    <w:p w14:paraId="55B1FE2C" w14:textId="5EE2EECD" w:rsidR="009E44A9" w:rsidRPr="004D3196" w:rsidRDefault="00737A15" w:rsidP="00737A15">
      <w:pPr>
        <w:pStyle w:val="ListParagraph"/>
      </w:pPr>
      <w:r>
        <w:t>The emerging view held was that corporate ethical behaviour will increase corporate competitiveness by establishing sustainable and product relationships with stakeholders (Jones, 1995). There was a consensus that a company that performs well with eco-friendly policies is a resource in creating a competitive advantage (Russo and Fouts, 1997).</w:t>
      </w:r>
    </w:p>
    <w:p w14:paraId="14FAAA08" w14:textId="77777777" w:rsidR="00D801DF" w:rsidRPr="00CE5031" w:rsidRDefault="00D801DF" w:rsidP="00CE5031"/>
    <w:p w14:paraId="327603F0" w14:textId="79F36542" w:rsidR="001E587E" w:rsidRDefault="00CE5031" w:rsidP="00AE60CE">
      <w:pPr>
        <w:pStyle w:val="ListParagraph"/>
        <w:numPr>
          <w:ilvl w:val="0"/>
          <w:numId w:val="14"/>
        </w:numPr>
      </w:pPr>
      <w:r w:rsidRPr="00AE60CE">
        <w:rPr>
          <w:b/>
          <w:bCs/>
          <w:u w:val="single"/>
        </w:rPr>
        <w:t>2000s</w:t>
      </w:r>
      <w:r>
        <w:t xml:space="preserve">: </w:t>
      </w:r>
      <w:r w:rsidR="000A2506">
        <w:t xml:space="preserve">The turn of the century also came with a turn of events for companies and CSR. </w:t>
      </w:r>
      <w:r w:rsidR="00525388">
        <w:t xml:space="preserve">The acceleration of globalisation, and the complexity of business </w:t>
      </w:r>
      <w:r w:rsidR="00525388">
        <w:lastRenderedPageBreak/>
        <w:t>relations with various social and interest groups brought about more reforms of the company model (</w:t>
      </w:r>
      <w:r w:rsidR="00525388" w:rsidRPr="00525388">
        <w:t>Cornelius et al., 2007; Shnayder et al. 2016</w:t>
      </w:r>
      <w:r w:rsidR="00525388">
        <w:t>).</w:t>
      </w:r>
      <w:r w:rsidR="000A2506">
        <w:t xml:space="preserve"> </w:t>
      </w:r>
      <w:r>
        <w:t>The 2008 Financial Crisis caused corporate policies to become the subject of immense public scrutiny</w:t>
      </w:r>
      <w:r w:rsidR="004F5DB5">
        <w:t xml:space="preserve"> (Kaplan, 2020)</w:t>
      </w:r>
      <w:r w:rsidR="00D871E5">
        <w:t>, fast-tracking the process to institutionalise ESG practices.</w:t>
      </w:r>
      <w:r w:rsidR="00F45D3B">
        <w:t xml:space="preserve"> Corporate policies were changing in response to immense public interest (Smith, 2011). </w:t>
      </w:r>
      <w:r w:rsidR="006B481A">
        <w:t xml:space="preserve">The fulfilment obligations of firms to its stakeholders </w:t>
      </w:r>
      <w:r w:rsidR="00F45D3B">
        <w:t>were</w:t>
      </w:r>
      <w:r w:rsidR="006B481A">
        <w:t xml:space="preserve"> taking shape – to have the intention of minimising harm and maximising long-run beneficial impact of the firm on society.</w:t>
      </w:r>
    </w:p>
    <w:p w14:paraId="10965811" w14:textId="77777777" w:rsidR="006B481A" w:rsidRDefault="006B481A" w:rsidP="00CE5031"/>
    <w:p w14:paraId="72A40E10" w14:textId="72BC76B1" w:rsidR="00CE5031" w:rsidRDefault="00202B82" w:rsidP="00AE60CE">
      <w:pPr>
        <w:pStyle w:val="ListParagraph"/>
      </w:pPr>
      <w:r>
        <w:t xml:space="preserve">CSR started to become part of business strategy, with a view that doing so boosts the competitiveness and efficiency of resource utilisation. </w:t>
      </w:r>
      <w:r w:rsidR="00D871E5">
        <w:t>“Doing good” became a competitive advantage as potential investors began to view ESG initiatives as important factors (Vibert, 2019).</w:t>
      </w:r>
      <w:r w:rsidR="00CE5031">
        <w:t xml:space="preserve"> </w:t>
      </w:r>
      <w:r w:rsidR="006B481A">
        <w:t>In other words, t</w:t>
      </w:r>
      <w:r w:rsidR="006B481A" w:rsidRPr="006B481A">
        <w:t>he shift in social responsibility transformed “CSR from being a minimal commitment to becoming a strategic necessary, which can translate into a sustainable competitive advantage.” (Warther &amp; Chandler, 2005)</w:t>
      </w:r>
      <w:r>
        <w:t>. This is the decade which saw an integration of CSR into business strategies (Acro-Castro et al., 2020).</w:t>
      </w:r>
    </w:p>
    <w:p w14:paraId="67DDA1E1" w14:textId="3C982B0D" w:rsidR="00C546CD" w:rsidRDefault="00C546CD" w:rsidP="00CE5031"/>
    <w:p w14:paraId="34B8644B" w14:textId="12593155" w:rsidR="00C546CD" w:rsidRDefault="00C546CD" w:rsidP="00AE60CE">
      <w:pPr>
        <w:pStyle w:val="ListParagraph"/>
        <w:numPr>
          <w:ilvl w:val="0"/>
          <w:numId w:val="14"/>
        </w:numPr>
      </w:pPr>
      <w:r w:rsidRPr="00AE60CE">
        <w:rPr>
          <w:b/>
          <w:bCs/>
          <w:u w:val="single"/>
        </w:rPr>
        <w:t>2010s</w:t>
      </w:r>
      <w:r>
        <w:t>: A shift in the view of a corporation – Porter and Kramar (2011) propose that – “the purpose of the corporation must be redefined as creating shared value”.</w:t>
      </w:r>
      <w:r w:rsidR="00B3389B">
        <w:t xml:space="preserve"> There is an acceleration of the institutionalisation of CSR as well. Several standard-setting bodies emerged and proposed how disclosures should be performed.</w:t>
      </w:r>
      <w:r w:rsidR="00AE60CE">
        <w:t xml:space="preserve"> At an institutional level, proposals for model norms for corporate governance in many countries were encouraged.</w:t>
      </w:r>
      <w:r w:rsidR="00B62D6B">
        <w:t xml:space="preserve"> Sustainability became a common CSR commitment – and was frequently linked to SDGs.</w:t>
      </w:r>
    </w:p>
    <w:p w14:paraId="29A11489" w14:textId="40CFC5F4" w:rsidR="00CE5031" w:rsidRDefault="00CE5031" w:rsidP="00CE5031"/>
    <w:p w14:paraId="7DE9FD6D" w14:textId="252D61A1" w:rsidR="009E262C" w:rsidRPr="00CE5031" w:rsidRDefault="009E262C" w:rsidP="009E262C">
      <w:pPr>
        <w:ind w:left="720"/>
      </w:pPr>
      <w:r>
        <w:t xml:space="preserve">External shocks such as the COVID-19 pandemic and the war in Ukraine have shown that companies find it hard to move rapidly </w:t>
      </w:r>
      <w:r w:rsidRPr="009E262C">
        <w:t>unless they have an ESG framework that is derived from, and deliberately advances, their strategy.</w:t>
      </w:r>
    </w:p>
    <w:p w14:paraId="4074FBB6" w14:textId="694A5E12" w:rsidR="00CE5031" w:rsidRDefault="00CE5031" w:rsidP="00CE5031"/>
    <w:p w14:paraId="6507B8AC" w14:textId="74447A0B" w:rsidR="008E577F" w:rsidRDefault="008E577F" w:rsidP="00CE5031"/>
    <w:p w14:paraId="020AF6DB" w14:textId="77777777" w:rsidR="008E577F" w:rsidRPr="00CE5031" w:rsidRDefault="008E577F" w:rsidP="00CE5031"/>
    <w:p w14:paraId="79B5A6F6" w14:textId="1F90850A" w:rsidR="004B328A" w:rsidRDefault="004B328A" w:rsidP="004B328A">
      <w:pPr>
        <w:pStyle w:val="Heading2"/>
      </w:pPr>
      <w:bookmarkStart w:id="13" w:name="_Toc113806105"/>
      <w:r>
        <w:lastRenderedPageBreak/>
        <w:t>Sustainability and the Sustainable Development Goals</w:t>
      </w:r>
      <w:bookmarkEnd w:id="13"/>
    </w:p>
    <w:p w14:paraId="1D2BC68D" w14:textId="336CC240" w:rsidR="004B328A" w:rsidRDefault="004B328A" w:rsidP="004B328A"/>
    <w:p w14:paraId="083EBFF4" w14:textId="58E6915B" w:rsidR="005B4B5E" w:rsidRDefault="004B328A" w:rsidP="004B328A">
      <w:r>
        <w:t xml:space="preserve">The </w:t>
      </w:r>
      <w:r w:rsidR="00B55FB9">
        <w:t>UN</w:t>
      </w:r>
      <w:r>
        <w:t>, in 2015, set up 17 Sustainable Development Goals (SDG) which are intended to be achieved by 2030</w:t>
      </w:r>
      <w:r>
        <w:rPr>
          <w:rStyle w:val="FootnoteReference"/>
        </w:rPr>
        <w:footnoteReference w:id="1"/>
      </w:r>
      <w:r>
        <w:t>. This superseded the Millennium Development Goals which ended in 2015.</w:t>
      </w:r>
      <w:r w:rsidR="00922599">
        <w:t xml:space="preserve"> </w:t>
      </w:r>
      <w:r w:rsidR="00B55FB9">
        <w:t xml:space="preserve">Branded as “The future we want” – the UNSDGs ere adopted at the UN Conference on </w:t>
      </w:r>
      <w:r w:rsidR="00B55FB9" w:rsidRPr="00B55FB9">
        <w:t>Sustainable Development in Rio de Janeiro</w:t>
      </w:r>
      <w:r w:rsidR="00B55FB9">
        <w:t>.</w:t>
      </w:r>
    </w:p>
    <w:p w14:paraId="17A3EF1A" w14:textId="77777777" w:rsidR="005B4B5E" w:rsidRDefault="005B4B5E" w:rsidP="004B328A"/>
    <w:p w14:paraId="71ED28AD" w14:textId="24551163" w:rsidR="00922599" w:rsidRDefault="005B4B5E" w:rsidP="004B328A">
      <w:r>
        <w:t xml:space="preserve">There are several </w:t>
      </w:r>
      <w:r w:rsidR="00EE4817">
        <w:t>attempts</w:t>
      </w:r>
      <w:r>
        <w:t xml:space="preserve"> to help stakeholders relate to and understand the themes </w:t>
      </w:r>
      <w:r w:rsidR="00EE4817">
        <w:t xml:space="preserve">within the SDGs. The uninitiated stakeholder with limited knowledge of SDGs typically encounter difficulties mapping their local challenges and activities on to the broader SDG context. </w:t>
      </w:r>
      <w:r w:rsidR="00EF1220">
        <w:t xml:space="preserve">The interlinkages among SDGs are very complex (Bowen et al., 2017). </w:t>
      </w:r>
      <w:r w:rsidR="00EE4817">
        <w:t xml:space="preserve">The Open-Source SDG developed a holistic SDG ontology by coupling a conventional framework and a SDG multi-label classification system by linking a regression model and topic model (Pukelis et al., 2020). </w:t>
      </w:r>
      <w:r w:rsidR="00922599">
        <w:t xml:space="preserve">Kang and Kim (2022) </w:t>
      </w:r>
      <w:r w:rsidR="00EE4817">
        <w:t xml:space="preserve">also </w:t>
      </w:r>
      <w:r w:rsidR="00922599">
        <w:t>propose</w:t>
      </w:r>
      <w:r w:rsidR="00EE4817">
        <w:t>d</w:t>
      </w:r>
      <w:r w:rsidR="00922599">
        <w:t xml:space="preserve"> that the 17 SDGs can be condensed into six </w:t>
      </w:r>
      <w:r w:rsidR="00410767">
        <w:t xml:space="preserve">(6) </w:t>
      </w:r>
      <w:r w:rsidR="00922599">
        <w:t xml:space="preserve">categories that represent different dimensions of human needs. These are summarised in Table </w:t>
      </w:r>
      <w:r w:rsidR="00922599" w:rsidRPr="00922599">
        <w:rPr>
          <w:highlight w:val="yellow"/>
        </w:rPr>
        <w:t>(x)</w:t>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Justice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Innovation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076494CE" w:rsidR="00922599" w:rsidRDefault="00410767" w:rsidP="00A81961">
      <w:pPr>
        <w:pStyle w:val="Caption"/>
        <w:spacing w:before="240"/>
      </w:pPr>
      <w:bookmarkStart w:id="14" w:name="_Toc109767298"/>
      <w:bookmarkStart w:id="15" w:name="_Toc109767342"/>
      <w:bookmarkStart w:id="16" w:name="_Toc113478447"/>
      <w:r>
        <w:t xml:space="preserve">Table </w:t>
      </w:r>
      <w:fldSimple w:instr=" SEQ Table \* ARABIC ">
        <w:r w:rsidR="00341478">
          <w:rPr>
            <w:noProof/>
          </w:rPr>
          <w:t>1</w:t>
        </w:r>
      </w:fldSimple>
      <w:r>
        <w:t>: Dimensions of the SDGs proposed in Kang and Kim (2022)</w:t>
      </w:r>
      <w:bookmarkEnd w:id="14"/>
      <w:bookmarkEnd w:id="15"/>
      <w:bookmarkEnd w:id="16"/>
    </w:p>
    <w:p w14:paraId="2C8EB4AA" w14:textId="0FC23477" w:rsidR="004B328A" w:rsidRDefault="004B328A" w:rsidP="004B328A"/>
    <w:p w14:paraId="28636045" w14:textId="3ECDFED7" w:rsidR="00EF1220" w:rsidRDefault="00EF1220" w:rsidP="00EF1220">
      <w:r>
        <w:t>Matsui et al. (2022) has also proposed another way of understanding the connection between SDGs by using a visualization of SDGs nexus by analysing the co-occurrences of predicted SDGs multi-labels with the Inventory of Business Indicators from SDG compass. There are strong associations between SDG 1 and SDG 10</w:t>
      </w:r>
      <w:r w:rsidR="00E62C3D">
        <w:t xml:space="preserve"> </w:t>
      </w:r>
      <w:r>
        <w:t xml:space="preserve">which are social goals, as well as associations between SDG </w:t>
      </w:r>
      <w:r w:rsidR="00E62C3D">
        <w:t>7, 11, 13, 14 and 15 – which are environmental goals pinned around sustainable cities.</w:t>
      </w:r>
    </w:p>
    <w:p w14:paraId="706E95DA" w14:textId="5D77B698" w:rsidR="00E62C3D" w:rsidRDefault="00E62C3D" w:rsidP="00EF1220"/>
    <w:p w14:paraId="54A4BC5C" w14:textId="0319DC55" w:rsidR="00E62C3D" w:rsidRDefault="00E62C3D" w:rsidP="00EF1220">
      <w:r w:rsidRPr="007D7924">
        <w:rPr>
          <w:noProof/>
        </w:rPr>
        <w:drawing>
          <wp:inline distT="0" distB="0" distL="0" distR="0" wp14:anchorId="122650F8" wp14:editId="44E57676">
            <wp:extent cx="5219700" cy="3069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9700" cy="3069595"/>
                    </a:xfrm>
                    <a:prstGeom prst="rect">
                      <a:avLst/>
                    </a:prstGeom>
                    <a:noFill/>
                    <a:ln>
                      <a:noFill/>
                    </a:ln>
                  </pic:spPr>
                </pic:pic>
              </a:graphicData>
            </a:graphic>
          </wp:inline>
        </w:drawing>
      </w:r>
    </w:p>
    <w:p w14:paraId="1391D6FB" w14:textId="2837F622" w:rsidR="00E62C3D" w:rsidRDefault="00E62C3D" w:rsidP="00E62C3D">
      <w:pPr>
        <w:pStyle w:val="Caption"/>
      </w:pPr>
      <w:bookmarkStart w:id="17" w:name="_Toc113789625"/>
      <w:r>
        <w:t xml:space="preserve">Figure </w:t>
      </w:r>
      <w:fldSimple w:instr=" SEQ Figure \* ARABIC ">
        <w:r w:rsidR="00742778">
          <w:rPr>
            <w:noProof/>
          </w:rPr>
          <w:t>4</w:t>
        </w:r>
      </w:fldSimple>
      <w:r>
        <w:t xml:space="preserve">: </w:t>
      </w:r>
      <w:r w:rsidRPr="001325C0">
        <w:t>SDG nexus representing co-occurrences of predicted SDGs within the Inventory of Business Indicators – the node sizes are proportional to the influence within the network (Matsui et al., 2022)</w:t>
      </w:r>
      <w:bookmarkEnd w:id="17"/>
    </w:p>
    <w:p w14:paraId="48BAD1D9" w14:textId="77777777" w:rsidR="00E62C3D" w:rsidRPr="004B328A" w:rsidRDefault="00E62C3D" w:rsidP="004B328A"/>
    <w:p w14:paraId="188F85D6" w14:textId="77777777" w:rsidR="00EF036C" w:rsidRDefault="00EF036C">
      <w:pPr>
        <w:spacing w:after="160" w:line="259" w:lineRule="auto"/>
        <w:jc w:val="left"/>
        <w:rPr>
          <w:i/>
          <w:iCs/>
          <w:sz w:val="28"/>
          <w:szCs w:val="28"/>
        </w:rPr>
      </w:pPr>
      <w:r>
        <w:lastRenderedPageBreak/>
        <w:br w:type="page"/>
      </w:r>
    </w:p>
    <w:p w14:paraId="4115434F" w14:textId="78BA27A3" w:rsidR="00B02A1E" w:rsidRDefault="00B02A1E" w:rsidP="00B02A1E">
      <w:pPr>
        <w:pStyle w:val="Heading2"/>
      </w:pPr>
      <w:bookmarkStart w:id="18" w:name="_Toc113806106"/>
      <w:r>
        <w:lastRenderedPageBreak/>
        <w:t>Sustainability Disclosures</w:t>
      </w:r>
      <w:bookmarkEnd w:id="18"/>
    </w:p>
    <w:p w14:paraId="43057433" w14:textId="548CA033" w:rsidR="00F96695" w:rsidRDefault="00F96695" w:rsidP="00B02A1E"/>
    <w:p w14:paraId="31EAB525" w14:textId="68BD1ED9" w:rsidR="002F03F0" w:rsidRDefault="002F03F0" w:rsidP="00B02A1E">
      <w:r>
        <w:t xml:space="preserve">There are several mediums for corporations to perform disclosures. Such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w:t>
      </w:r>
      <w:r w:rsidR="009D15E8">
        <w:t>internet channels, which allow for higher frequencies and more formats (</w:t>
      </w:r>
      <w:r w:rsidR="009D15E8" w:rsidRPr="009D15E8">
        <w:t>Parasharya</w:t>
      </w:r>
      <w:r w:rsidR="009D15E8">
        <w:t>, 2022). This study focuses on the former – formal reporting channels through reports as this has more historical basis for comparison.</w:t>
      </w:r>
    </w:p>
    <w:p w14:paraId="3A554725" w14:textId="749727E3" w:rsidR="006D1011" w:rsidRDefault="006D1011" w:rsidP="00B02A1E"/>
    <w:p w14:paraId="157BFDF0" w14:textId="597EC9C8" w:rsidR="00090F2B" w:rsidRDefault="006D1011" w:rsidP="00B02A1E">
      <w:r>
        <w:t>Initial disclosures were more unstructured. As a rebuke to the Friedman Doctrine, Danone led a change by adopting an internal accounting policy that reflected carbon emission costs to Earnings per Share (EPS) to create awareness about the greenhouse gases emitted from food manufacturing. This was one way that sustainability disclosures took shape – with companies disclosing on topics that might have been easier or advantageous for them to disclose on, rather than an entire comprehensive suite of disclosures as we now see today.</w:t>
      </w:r>
    </w:p>
    <w:p w14:paraId="27BAA719" w14:textId="77777777" w:rsidR="006D1011" w:rsidRDefault="006D1011" w:rsidP="00B02A1E"/>
    <w:p w14:paraId="5F020023" w14:textId="139DC9A8" w:rsidR="00090F2B" w:rsidRDefault="00090F2B" w:rsidP="00B02A1E">
      <w:r>
        <w:t>At the start of the 21</w:t>
      </w:r>
      <w:r w:rsidRPr="00090F2B">
        <w:rPr>
          <w:vertAlign w:val="superscript"/>
        </w:rPr>
        <w:t>st</w:t>
      </w:r>
      <w:r>
        <w:t xml:space="preserve"> century, companies presented their sustainability documents. Parasharya (2022) observed, in 2007, that conglomerates like ExxonMobil and PepsiCo </w:t>
      </w:r>
      <w:r w:rsidR="006F5802">
        <w:t>did not have distinct sections for sustainability reports – such information was nested within broader themes (e.g., “Purpose”). This is similar for Singapore-listed companies. One of the first adopters of a separate Sustainability Report is City Development Limited, which presented its first Sustainability Report in 2012. There were also companies which started to disclose sustainability initiatives as a section of their annual report. Other listed companies gradually began to start having separate reports as doing so became mandatory from 2017.</w:t>
      </w:r>
    </w:p>
    <w:p w14:paraId="3F0A5453" w14:textId="0A51BDBC" w:rsidR="009D15E8" w:rsidRDefault="009D15E8" w:rsidP="00B02A1E"/>
    <w:p w14:paraId="7CE89701" w14:textId="22A4F529" w:rsidR="009D15E8" w:rsidRDefault="009D15E8" w:rsidP="00B02A1E">
      <w:r>
        <w:t>The number of organisations that publish information on their sustainability practices as grown steadily (Kolk, 2004).</w:t>
      </w:r>
      <w:r w:rsidR="001F3722">
        <w:t xml:space="preserve"> </w:t>
      </w:r>
      <w:r w:rsidR="001F3722" w:rsidRPr="001F3722">
        <w:t xml:space="preserve">Corporations have been incorporating ESG metrics as </w:t>
      </w:r>
      <w:r w:rsidR="001F3722" w:rsidRPr="001F3722">
        <w:lastRenderedPageBreak/>
        <w:t>standard practice into their sustainability reporting and larger CSR initiatives (Kaplan, 2020; Tett, 2021)</w:t>
      </w:r>
      <w:r w:rsidR="001F3722">
        <w:t>.</w:t>
      </w:r>
      <w:r>
        <w:t xml:space="preserve"> </w:t>
      </w:r>
      <w:r w:rsidRPr="00804164">
        <w:t>Some researchers have focused on the frequency of reporting and other high-</w:t>
      </w:r>
      <w:r>
        <w:t>level information in order to gain insights into the general development of sustainability reporting (Kolk, 2003; Kolk, 2004).</w:t>
      </w:r>
      <w:r w:rsidR="006E081E">
        <w:t xml:space="preserve"> </w:t>
      </w:r>
      <w:r>
        <w:t>This was prior to Natural Language Processing (NLP) techniques gaining traction and feasibility in this research field.</w:t>
      </w:r>
    </w:p>
    <w:p w14:paraId="2D5DE283" w14:textId="3A7FEB32" w:rsidR="00A557B0" w:rsidRDefault="00A557B0" w:rsidP="00B02A1E"/>
    <w:p w14:paraId="586EA146" w14:textId="30B467FB" w:rsidR="00A557B0" w:rsidRPr="00A557B0" w:rsidRDefault="00A557B0" w:rsidP="00B02A1E">
      <w:r>
        <w:t xml:space="preserve">Disclosures can be done using </w:t>
      </w:r>
      <w:r>
        <w:rPr>
          <w:b/>
          <w:bCs/>
        </w:rPr>
        <w:t>ESG Metrics</w:t>
      </w:r>
      <w:r>
        <w:t>. These include Greenhouse Gas (GHG) emission metrics, waste, employee health and safety, compliance, and governance-related metrics (Green Business Bureau, 2021).</w:t>
      </w:r>
    </w:p>
    <w:p w14:paraId="392D27F5" w14:textId="1462C224" w:rsidR="00713FE8" w:rsidRDefault="00713FE8" w:rsidP="00B02A1E"/>
    <w:p w14:paraId="0F79D1AA" w14:textId="2FF8EB3A" w:rsidR="00713FE8" w:rsidRDefault="00713FE8" w:rsidP="00B02A1E">
      <w:r>
        <w:t>The TCFD’s 2019 status report observed that only 29% of companies made relevant climate disclosures. There were insufficient decision-useful climate-related financial information (FSB TCFD, 2019). This is despite prior efforts in releasing a set of recommendations to help structure and formalise companies’ sustainability and climate risk reporting (TCFD, 2017). In subsequent reviews, the TCFD was increasingly prescriptive on the expected disclosures. Their 2021 review had promoted SGX to strengthen its sustainability reporting requirements to require ‘climate reporting’.</w:t>
      </w:r>
    </w:p>
    <w:p w14:paraId="4308503C" w14:textId="30FAF473" w:rsidR="00126251" w:rsidRDefault="00126251" w:rsidP="00B02A1E"/>
    <w:p w14:paraId="2680B3C6" w14:textId="32E2BB0D" w:rsidR="00126251" w:rsidRDefault="00126251" w:rsidP="00B02A1E">
      <w:r>
        <w:t>When ESG is core to the business model, reporting on ESG becomes part of the ordinary course of doing business. In so whereas external shocks are less likely to present an undue burden on ESG reporting (</w:t>
      </w:r>
      <w:r w:rsidRPr="00126251">
        <w:t>Pérez</w:t>
      </w:r>
      <w:r>
        <w:t>, 2022).</w:t>
      </w:r>
    </w:p>
    <w:p w14:paraId="68EBC265" w14:textId="4F6ADDA9" w:rsidR="00E427F9" w:rsidRDefault="00E427F9" w:rsidP="00B02A1E"/>
    <w:p w14:paraId="5A880F30" w14:textId="02B39FE2" w:rsidR="00A421C4" w:rsidRDefault="00E427F9" w:rsidP="00B02A1E">
      <w:r>
        <w:t xml:space="preserve">GRI and NUS (2022) made attempts to analyse how companies made disclosures based on </w:t>
      </w:r>
      <w:r w:rsidR="00A421C4">
        <w:t>seven</w:t>
      </w:r>
      <w:r>
        <w:t xml:space="preserve"> key areas:</w:t>
      </w:r>
      <w:r w:rsidR="000C6EA2">
        <w:t xml:space="preserve"> (i) reporting framework, (ii) materiality, (iii) risks</w:t>
      </w:r>
      <w:r w:rsidR="00A421C4">
        <w:t xml:space="preserve"> and </w:t>
      </w:r>
      <w:r w:rsidR="000C6EA2">
        <w:t xml:space="preserve"> opportunities, (</w:t>
      </w:r>
      <w:r w:rsidR="00A421C4">
        <w:t>i</w:t>
      </w:r>
      <w:r w:rsidR="000C6EA2">
        <w:t xml:space="preserve">v) governance, (v) strategy, (vi) targets, and (vii) performance. </w:t>
      </w:r>
      <w:r w:rsidR="00A421C4" w:rsidRPr="006E41BC">
        <w:rPr>
          <w:b/>
          <w:bCs/>
          <w:highlight w:val="yellow"/>
        </w:rPr>
        <w:t>Figure (x)</w:t>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2"/>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31901212" w:rsidR="006E41BC" w:rsidRDefault="006E41BC" w:rsidP="006E41BC">
      <w:pPr>
        <w:pStyle w:val="Caption"/>
      </w:pPr>
      <w:bookmarkStart w:id="19" w:name="_Toc113789626"/>
      <w:r>
        <w:t xml:space="preserve">Figure </w:t>
      </w:r>
      <w:fldSimple w:instr=" SEQ Figure \* ARABIC ">
        <w:r w:rsidR="00742778">
          <w:rPr>
            <w:noProof/>
          </w:rPr>
          <w:t>5</w:t>
        </w:r>
      </w:fldSimple>
      <w:r>
        <w:t>: Climate-related Reporting Assessment Framework (GRI and NUS, 2022)</w:t>
      </w:r>
      <w:bookmarkEnd w:id="19"/>
    </w:p>
    <w:p w14:paraId="42D8EC97" w14:textId="77777777" w:rsidR="00A421C4" w:rsidRDefault="00A421C4" w:rsidP="00B02A1E"/>
    <w:p w14:paraId="7DB50CCA" w14:textId="38DC5CE4" w:rsidR="00E55A79" w:rsidRDefault="000C6EA2" w:rsidP="00B02A1E">
      <w:r>
        <w:t xml:space="preserve">The study noted that Singapore-listed companies excelled consistently tracking and disclosing across historical periods, making retrospective comparison possible. </w:t>
      </w:r>
      <w:r w:rsidR="00FD4733" w:rsidRPr="00FD4733">
        <w:rPr>
          <w:b/>
          <w:bCs/>
        </w:rPr>
        <w:t>This makes Singapore-listed companies a favourable choice for the analysis</w:t>
      </w:r>
      <w:r w:rsidR="00FD4733">
        <w:t>.</w:t>
      </w:r>
      <w:r w:rsidR="00E55A79">
        <w:t xml:space="preserve"> Singapore-listed companies performed fairly well on the disclosure scoring study by GRI and NUS (2022). The results are reproduced in </w:t>
      </w:r>
      <w:r w:rsidR="00E55A79" w:rsidRPr="00E55A79">
        <w:rPr>
          <w:b/>
          <w:bCs/>
          <w:highlight w:val="yellow"/>
        </w:rPr>
        <w:t>Table (x)</w:t>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082E333C" w:rsidR="00E55A79" w:rsidRDefault="00341478" w:rsidP="00341478">
      <w:pPr>
        <w:pStyle w:val="Caption"/>
        <w:spacing w:before="240"/>
      </w:pPr>
      <w:r>
        <w:t xml:space="preserve">Table </w:t>
      </w:r>
      <w:fldSimple w:instr=" SEQ Table \* ARABIC ">
        <w:r>
          <w:rPr>
            <w:noProof/>
          </w:rPr>
          <w:t>2</w:t>
        </w:r>
      </w:fldSimple>
      <w:r>
        <w:t>: Sustainability Disclosure Score for Singapore-listed Companies</w:t>
      </w:r>
    </w:p>
    <w:p w14:paraId="459BB825" w14:textId="01F43292" w:rsidR="00BE397A" w:rsidRDefault="00BE397A" w:rsidP="00B02A1E"/>
    <w:p w14:paraId="1044B753" w14:textId="795A692E" w:rsidR="00BE397A" w:rsidRDefault="00BE397A" w:rsidP="00B02A1E">
      <w:r>
        <w:t xml:space="preserve">Several studies posit that the disclosure of social, economic, and environmental issues in the sustainability </w:t>
      </w:r>
      <w:r w:rsidR="007265A7">
        <w:t>report has several effects. Later explored in a discussion on signalling and stakeholder theory,</w:t>
      </w:r>
      <w:r w:rsidR="00E427F9">
        <w:t xml:space="preserve"> disclosures </w:t>
      </w:r>
      <w:r w:rsidR="00126251">
        <w:t>were</w:t>
      </w:r>
      <w:r w:rsidR="00E427F9">
        <w:t xml:space="preserve"> acknowledge as</w:t>
      </w:r>
      <w:r w:rsidR="007265A7">
        <w:t xml:space="preserve"> a way to increase </w:t>
      </w:r>
      <w:r w:rsidR="007265A7">
        <w:lastRenderedPageBreak/>
        <w:t>transparency (</w:t>
      </w:r>
      <w:r w:rsidR="007265A7" w:rsidRPr="007265A7">
        <w:t xml:space="preserve">Kaymak </w:t>
      </w:r>
      <w:r w:rsidR="007265A7">
        <w:t>and</w:t>
      </w:r>
      <w:r w:rsidR="007265A7" w:rsidRPr="007265A7">
        <w:t xml:space="preserve"> Bektas, 2017</w:t>
      </w:r>
      <w:r w:rsidR="007265A7">
        <w:t>). As explained by the legitimacy theory, disclosures increase accountability, reputation (Aguilera-Caracuel et al., 2018), and awareness about environmental and social practices (Chang et al. 2017).</w:t>
      </w:r>
    </w:p>
    <w:p w14:paraId="5FF07065" w14:textId="2614BD51" w:rsidR="002F03F0" w:rsidRDefault="002F03F0" w:rsidP="00B02A1E"/>
    <w:p w14:paraId="4245B974" w14:textId="6C499979" w:rsidR="002871C7" w:rsidRDefault="002F03F0" w:rsidP="00B02A1E">
      <w:r>
        <w:t>A challenge is to convince stakeholder groups that the narratives presented in such disclosures more than merely ‘greenwashing’ (Bartlett, 2011).</w:t>
      </w:r>
      <w:r w:rsidR="0008518C">
        <w:t xml:space="preserve"> The hidden motives of self-interest can be attributed to ‘psychological egoism’, fuelled by an assumption that altruism solely for the benefit of others is extraordinary (Parasharya, 2022).</w:t>
      </w:r>
    </w:p>
    <w:p w14:paraId="3493FE72" w14:textId="2C952239" w:rsidR="00EA5D82" w:rsidRDefault="00EA5D82" w:rsidP="00B02A1E"/>
    <w:p w14:paraId="704EB122" w14:textId="52EFC11A" w:rsidR="00EA5D82" w:rsidRDefault="00EA5D82" w:rsidP="00EA5D82">
      <w:pPr>
        <w:pStyle w:val="Heading2"/>
      </w:pPr>
      <w:bookmarkStart w:id="20" w:name="_Toc113806107"/>
      <w:r>
        <w:t>Sustainability Reporting Standards</w:t>
      </w:r>
      <w:bookmarkEnd w:id="20"/>
    </w:p>
    <w:p w14:paraId="4C07A73F" w14:textId="77777777" w:rsidR="00EA5D82" w:rsidRDefault="00EA5D82" w:rsidP="00EA5D82">
      <w:pPr>
        <w:spacing w:after="160"/>
      </w:pPr>
    </w:p>
    <w:p w14:paraId="76E6C6B2" w14:textId="7F879952" w:rsidR="002F03F0" w:rsidRDefault="00EA5D82" w:rsidP="002F03F0">
      <w:r>
        <w:t>Following financial shocks in the first two decades of the 21</w:t>
      </w:r>
      <w:r w:rsidRPr="00EA5D82">
        <w:rPr>
          <w:vertAlign w:val="superscript"/>
        </w:rPr>
        <w:t>st</w:t>
      </w:r>
      <w:r>
        <w:t xml:space="preserve"> century, companies have sought for ways to “redeem themselves” - ESG standards is a key development in this regard for improving rep</w:t>
      </w:r>
      <w:r w:rsidR="00CB3EFB">
        <w:t>utation.</w:t>
      </w:r>
      <w:r w:rsidR="006E081E">
        <w:t xml:space="preserve"> </w:t>
      </w:r>
      <w:r w:rsidR="006E081E" w:rsidRPr="006E081E">
        <w:t>ESG reporting is more standardised – there is consensus amongst corporations regarding the form of practice (Waddock and Googins, 2011).</w:t>
      </w:r>
      <w:r w:rsidR="006E081E">
        <w:t xml:space="preserve"> The development of standards is a step towards formalising the consensus.</w:t>
      </w:r>
    </w:p>
    <w:p w14:paraId="74B811B7" w14:textId="77777777" w:rsidR="002F03F0" w:rsidRDefault="002F03F0" w:rsidP="00EA5D82">
      <w:pPr>
        <w:spacing w:after="160"/>
      </w:pPr>
    </w:p>
    <w:p w14:paraId="0E618631" w14:textId="44CC1D4E" w:rsidR="002F03F0" w:rsidRDefault="002F03F0" w:rsidP="002F03F0">
      <w:r>
        <w:t>Sustainability disclosures currently consist of a mix of mandatory and voluntary initiatives. This contrasts with financial reporting, which is guided by the International Financial Reporting Standards (IFRS) with a principle-based approached and guidance on basis for recognition, measurement, and prescriptions for disclosures for comparability. SGX, similar to other stock exchanges, have</w:t>
      </w:r>
      <w:r w:rsidRPr="00717DAF">
        <w:t xml:space="preserve"> proposed that firms may use widely adopted frameworks, such as the </w:t>
      </w:r>
      <w:r>
        <w:t>GRI</w:t>
      </w:r>
      <w:r w:rsidRPr="00717DAF">
        <w:t xml:space="preserve"> and the Sustainability Accounting Standards Board (SASB), as a basis for sustainability reporting (Loh et al., 2017).</w:t>
      </w:r>
    </w:p>
    <w:p w14:paraId="658D1E30" w14:textId="71CC0402" w:rsidR="00A42D9D" w:rsidRDefault="00A42D9D" w:rsidP="002F03F0"/>
    <w:p w14:paraId="3AC2A222" w14:textId="50886BAB" w:rsidR="00A42D9D" w:rsidRDefault="00A42D9D" w:rsidP="002F03F0">
      <w:r>
        <w:t xml:space="preserve">The standards are meant to guide businesses to give a snapshot of its business impact across key areas – environment, social, and corporate governance. </w:t>
      </w:r>
      <w:r w:rsidRPr="00A42D9D">
        <w:t>Standardi</w:t>
      </w:r>
      <w:r>
        <w:t>s</w:t>
      </w:r>
      <w:r w:rsidRPr="00A42D9D">
        <w:t xml:space="preserve">ed reporting methods, such as GRI, are designed to summarize quantitative and qualitative information, for easy disclosure and improved transparency to screen investments. ESG reporting helps investors avoid companies that may pose a greater </w:t>
      </w:r>
      <w:r w:rsidRPr="00A42D9D">
        <w:lastRenderedPageBreak/>
        <w:t>financial risk due to their environmental performance or other social or government practices</w:t>
      </w:r>
      <w:r>
        <w:t xml:space="preserve"> (Green Business Bureau, 2021)</w:t>
      </w:r>
      <w:r w:rsidRPr="00A42D9D">
        <w:t>.</w:t>
      </w:r>
    </w:p>
    <w:p w14:paraId="5769D6F2" w14:textId="1267EA24" w:rsidR="00207C01" w:rsidRDefault="00207C01" w:rsidP="002F03F0"/>
    <w:p w14:paraId="378E33F5" w14:textId="21EB1EAA" w:rsidR="00207C01" w:rsidRDefault="00207C01" w:rsidP="00207C01">
      <w:pPr>
        <w:pStyle w:val="Heading3"/>
      </w:pPr>
      <w:bookmarkStart w:id="21" w:name="_Toc113806108"/>
      <w:r>
        <w:t>ISSB Exposure Drafts</w:t>
      </w:r>
      <w:bookmarkEnd w:id="21"/>
    </w:p>
    <w:p w14:paraId="585AFA01" w14:textId="098F5294"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7577B52B" w14:textId="076033B3" w:rsidR="00895169" w:rsidRDefault="00895169" w:rsidP="00895169">
      <w:r>
        <w:t>IFRS S1 provides for guidance on sustainability-related financial information, whereas IFRS S2 provides for climate-related disclosures. The impetus of doing so was outlined separately:</w:t>
      </w:r>
    </w:p>
    <w:p w14:paraId="10AC15C0" w14:textId="34CB114F" w:rsidR="00895169" w:rsidRDefault="00895169" w:rsidP="00895169"/>
    <w:p w14:paraId="6D63E421" w14:textId="3AE8DB54" w:rsidR="00895169" w:rsidRDefault="00895169" w:rsidP="00895169">
      <w:pPr>
        <w:ind w:left="720"/>
      </w:pPr>
      <w:r>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F5838F2" w14:textId="4EDDDC59" w:rsidR="00966E78" w:rsidRDefault="002077E7" w:rsidP="002F03F0">
      <w:r>
        <w:t xml:space="preserve">The need for </w:t>
      </w:r>
      <w:r w:rsidR="001051BC">
        <w:t xml:space="preserve">primary users </w:t>
      </w:r>
      <w:r w:rsidR="001051BC" w:rsidRPr="001051BC">
        <w:t>of financial reporting for more consistent, complete, comparable, and verifiable sustainability-related financial information to help them assess an entity’s enterprise value.</w:t>
      </w:r>
      <w:r w:rsidR="00966E78">
        <w:t xml:space="preserve"> In whereas the definition of enterprise value is set out in IFRS S1 paragraph 5:</w:t>
      </w:r>
    </w:p>
    <w:p w14:paraId="305B19C6" w14:textId="31F899CC" w:rsidR="00966E78" w:rsidRDefault="00966E78" w:rsidP="002F03F0"/>
    <w:p w14:paraId="2930EAEC" w14:textId="2015289D" w:rsidR="00966E78" w:rsidRDefault="00ED6E2A" w:rsidP="00ED6E2A">
      <w:pPr>
        <w:ind w:left="720"/>
      </w:pPr>
      <w:r w:rsidRPr="00ED6E2A">
        <w:t xml:space="preserve">Enterprise value reflects expectations of the amount, timing and certainty of future cash flows over the short, medium and long term and the value of those cash flows in the light of the entity’s risk profile, and its access to finance and cost of capital. Information that is essential for assessing the enterprise value </w:t>
      </w:r>
      <w:r w:rsidRPr="00ED6E2A">
        <w:lastRenderedPageBreak/>
        <w:t>of an entity includes information that is provided by the entity in its financial statements and sustainability-related financial information.</w:t>
      </w:r>
    </w:p>
    <w:p w14:paraId="29C896A1" w14:textId="77777777" w:rsidR="002077E7" w:rsidRDefault="002077E7" w:rsidP="002F03F0"/>
    <w:p w14:paraId="24B5CDD7" w14:textId="5E91A9BF" w:rsidR="00F11917" w:rsidRDefault="002F03F0" w:rsidP="002F1E4A">
      <w:r>
        <w:t>Standardisation promotes an extent of comparability. However, there is variance due to the difference in standards that can be chosen. The standards are based on the principle of materiality – which is subjective to the interpretation of the firm. This results in disclosures that are often very heterogeneous and lacks structure to the subjects they cover (Luccioni et al., 2020).</w:t>
      </w:r>
    </w:p>
    <w:p w14:paraId="1A8CC31C" w14:textId="26825B7F" w:rsidR="002871C7" w:rsidRDefault="002871C7" w:rsidP="002F1E4A"/>
    <w:p w14:paraId="71FCE2F6" w14:textId="5F5EA08A" w:rsidR="002871C7" w:rsidRDefault="002871C7" w:rsidP="002F1E4A">
      <w:r>
        <w:t>In response to climate-disclosure mandates, GRI and NUS (2022) proposed a climate-reporting framework with seven main disclosure areas</w:t>
      </w:r>
      <w:r w:rsidR="007A5386">
        <w:t>. This framework purports to cover key disclosure areas required for stakeholders to understand the reports in a structured manner. There are large overlaps between this proposal and the requirements prescribed in the IFRS Foundation’s exposure draft for Sustainability standards (IFRS S1, IFRS S2). The areas identified by GRI and NUS (2022) for disclosure are:</w:t>
      </w:r>
    </w:p>
    <w:p w14:paraId="09143C89" w14:textId="68631448" w:rsidR="007A5386" w:rsidRDefault="007A5386" w:rsidP="002F1E4A"/>
    <w:p w14:paraId="3C0DF70E" w14:textId="2E9821EC" w:rsidR="007A5386" w:rsidRDefault="007A5386" w:rsidP="007A5386">
      <w:pPr>
        <w:pStyle w:val="ListParagraph"/>
        <w:numPr>
          <w:ilvl w:val="0"/>
          <w:numId w:val="8"/>
        </w:numPr>
      </w:pPr>
      <w:r>
        <w:t>Reporting framework (e.g.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58FF9811"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30E5EDDC" w:rsidR="00991D13" w:rsidRDefault="00991D13" w:rsidP="007A5386">
      <w:pPr>
        <w:pStyle w:val="ListParagraph"/>
        <w:numPr>
          <w:ilvl w:val="0"/>
          <w:numId w:val="8"/>
        </w:numPr>
      </w:pPr>
      <w:r>
        <w:t>Performance (particularly, 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3790F643" w:rsidR="00895169" w:rsidRDefault="008D5079" w:rsidP="00895169">
      <w:pPr>
        <w:pStyle w:val="ListParagraph"/>
        <w:numPr>
          <w:ilvl w:val="0"/>
          <w:numId w:val="14"/>
        </w:numPr>
      </w:pPr>
      <w:r w:rsidRPr="008D5079">
        <w:rPr>
          <w:b/>
          <w:bCs/>
          <w:u w:val="single"/>
        </w:rPr>
        <w:t>Governance (IFRS S1:11a, 12-13)</w:t>
      </w:r>
      <w:r>
        <w:t>: Providing disclosures on processes, controls, and procedures used to monitor and manage sustainability-related risks and opportunities.</w:t>
      </w:r>
    </w:p>
    <w:p w14:paraId="75E5F8AE" w14:textId="73D0610E" w:rsidR="00895169" w:rsidRDefault="008D5079" w:rsidP="00895169">
      <w:pPr>
        <w:pStyle w:val="ListParagraph"/>
        <w:numPr>
          <w:ilvl w:val="0"/>
          <w:numId w:val="14"/>
        </w:numPr>
      </w:pPr>
      <w:r w:rsidRPr="008D5079">
        <w:rPr>
          <w:b/>
          <w:bCs/>
          <w:u w:val="single"/>
        </w:rPr>
        <w:lastRenderedPageBreak/>
        <w:t>Strategy (IFRS S1:11b, 14-24)</w:t>
      </w:r>
      <w:r>
        <w:t>: Company’s strategy for addressing significant sustainability-related risks and opportunities, and the effects of significant sustainability-related risks and opportunities on financial position, financial performance, and cash flows.</w:t>
      </w:r>
    </w:p>
    <w:p w14:paraId="684A0529" w14:textId="6112CCBF" w:rsidR="00895169" w:rsidRDefault="008D5079" w:rsidP="00895169">
      <w:pPr>
        <w:pStyle w:val="ListParagraph"/>
        <w:numPr>
          <w:ilvl w:val="0"/>
          <w:numId w:val="14"/>
        </w:numPr>
      </w:pPr>
      <w:r w:rsidRPr="008D5079">
        <w:rPr>
          <w:b/>
          <w:bCs/>
          <w:u w:val="single"/>
        </w:rPr>
        <w:t>Risk management (IFRS S1:11c, 25-26)</w:t>
      </w:r>
      <w:r>
        <w:t>: The process, by which sustainability-related risks and opportunities are identified, assessed, and managed.</w:t>
      </w:r>
    </w:p>
    <w:p w14:paraId="01889D72" w14:textId="657C3DBD" w:rsidR="00561068" w:rsidRDefault="008D5079" w:rsidP="008D5079">
      <w:pPr>
        <w:pStyle w:val="ListParagraph"/>
        <w:numPr>
          <w:ilvl w:val="0"/>
          <w:numId w:val="14"/>
        </w:numPr>
      </w:pPr>
      <w:r w:rsidRPr="008D5079">
        <w:rPr>
          <w:b/>
          <w:bCs/>
          <w:u w:val="single"/>
        </w:rPr>
        <w:t>Metrics and targets (IFRS S1:11d, 27-35)</w:t>
      </w:r>
      <w:r>
        <w:t>: How the entity measures, monitors, and manages its significant sustainability-related risks and opportunities.</w:t>
      </w:r>
    </w:p>
    <w:p w14:paraId="6A596AB4" w14:textId="0DBB375A" w:rsidR="002C79AA" w:rsidRDefault="002C79AA" w:rsidP="002C79AA"/>
    <w:p w14:paraId="62472A58" w14:textId="5FEC8A8E" w:rsidR="002C79AA" w:rsidRDefault="002C79AA" w:rsidP="002C79AA">
      <w:r>
        <w:t>In addition, there are prescriptions on the features of information required to be disclosed that extend slightly beyon</w:t>
      </w:r>
      <w:r w:rsidR="002009C0">
        <w:t>d the categories identified above:</w:t>
      </w:r>
    </w:p>
    <w:p w14:paraId="75ED924F" w14:textId="3612D06B" w:rsidR="002009C0" w:rsidRDefault="002009C0" w:rsidP="002C79AA"/>
    <w:p w14:paraId="45789A92" w14:textId="5BE393D7" w:rsidR="00146E63" w:rsidRDefault="00146E63" w:rsidP="00146E63">
      <w:pPr>
        <w:pStyle w:val="ListParagraph"/>
        <w:numPr>
          <w:ilvl w:val="0"/>
          <w:numId w:val="15"/>
        </w:numPr>
      </w:pPr>
      <w:r w:rsidRPr="003F3E1B">
        <w:rPr>
          <w:b/>
          <w:bCs/>
          <w:u w:val="single"/>
        </w:rPr>
        <w:t xml:space="preserve">Connected </w:t>
      </w:r>
      <w:r w:rsidR="003F3E1B">
        <w:rPr>
          <w:b/>
          <w:bCs/>
          <w:u w:val="single"/>
        </w:rPr>
        <w:t>I</w:t>
      </w:r>
      <w:r w:rsidRPr="003F3E1B">
        <w:rPr>
          <w:b/>
          <w:bCs/>
          <w:u w:val="single"/>
        </w:rPr>
        <w:t>nformation</w:t>
      </w:r>
      <w:r>
        <w:t xml:space="preserve">: connection between various sustainability-related risks and opportunities and how it relates to information in the </w:t>
      </w:r>
      <w:r w:rsidR="00895169">
        <w:t>general-purpose</w:t>
      </w:r>
      <w:r>
        <w:t xml:space="preserve"> financial statements.</w:t>
      </w:r>
    </w:p>
    <w:p w14:paraId="431BDACB" w14:textId="06FF2C68" w:rsidR="00895169" w:rsidRDefault="00146E63" w:rsidP="003F3E1B">
      <w:pPr>
        <w:pStyle w:val="ListParagraph"/>
        <w:numPr>
          <w:ilvl w:val="1"/>
          <w:numId w:val="15"/>
        </w:numPr>
      </w:pPr>
      <w:r>
        <w:t>IFRS S1:44 provides an explanation of the combined effects of sustainability-related risks and opportunities and the entity’s strategy and related metrics and targets on its financial position, financial performance and cash flows over the short, medium and long term. For example, an entity may face decreasing demand for its products because of consumer preferences for low-carbon alternatives.</w:t>
      </w:r>
      <w:r w:rsidR="003F3E1B">
        <w:t xml:space="preserve"> </w:t>
      </w:r>
      <w:r>
        <w:t>It may need to explain how its strategic response, such as closing a major factory, affects its workforce and communities, as well as the effect of the closure on the useful lives of assets and impairment assessments.</w:t>
      </w:r>
    </w:p>
    <w:p w14:paraId="6ABA8327" w14:textId="77777777" w:rsidR="002100DA" w:rsidRDefault="00146E63" w:rsidP="00895169">
      <w:pPr>
        <w:pStyle w:val="ListParagraph"/>
        <w:numPr>
          <w:ilvl w:val="0"/>
          <w:numId w:val="15"/>
        </w:numPr>
      </w:pPr>
      <w:r w:rsidRPr="003F3E1B">
        <w:rPr>
          <w:b/>
          <w:bCs/>
          <w:u w:val="single"/>
        </w:rPr>
        <w:t>Materiality</w:t>
      </w:r>
      <w:r>
        <w:t xml:space="preserve">: </w:t>
      </w:r>
      <w:r w:rsidR="002100DA">
        <w:t xml:space="preserve">Issues for which </w:t>
      </w:r>
      <w:r>
        <w:t xml:space="preserve">misstating or obscuring that information could reasonably be expected to influence decisions that the primary users of </w:t>
      </w:r>
      <w:r w:rsidR="00895169">
        <w:t>general-purpose</w:t>
      </w:r>
      <w:r>
        <w:t xml:space="preserve"> financial reporting make on the basis of that reporting</w:t>
      </w:r>
      <w:r w:rsidR="00895169">
        <w:t>.</w:t>
      </w:r>
      <w:r w:rsidR="002100DA">
        <w:t xml:space="preserve"> </w:t>
      </w:r>
    </w:p>
    <w:p w14:paraId="28F9B474" w14:textId="00FB3136" w:rsidR="00895169" w:rsidRDefault="00146E63" w:rsidP="00895169">
      <w:pPr>
        <w:pStyle w:val="ListParagraph"/>
        <w:numPr>
          <w:ilvl w:val="0"/>
          <w:numId w:val="15"/>
        </w:numPr>
      </w:pPr>
      <w:r w:rsidRPr="003F3E1B">
        <w:rPr>
          <w:b/>
          <w:bCs/>
          <w:u w:val="single"/>
        </w:rPr>
        <w:t xml:space="preserve">Comparative </w:t>
      </w:r>
      <w:r w:rsidR="003F3E1B">
        <w:rPr>
          <w:b/>
          <w:bCs/>
          <w:u w:val="single"/>
        </w:rPr>
        <w:t>I</w:t>
      </w:r>
      <w:r w:rsidRPr="003F3E1B">
        <w:rPr>
          <w:b/>
          <w:bCs/>
          <w:u w:val="single"/>
        </w:rPr>
        <w:t>nformation</w:t>
      </w:r>
      <w:r>
        <w:t>: to disclose in respect of previous period</w:t>
      </w:r>
      <w:r w:rsidR="00895169">
        <w:t>.</w:t>
      </w:r>
    </w:p>
    <w:p w14:paraId="0AD26C1F" w14:textId="3BA3E767" w:rsidR="002009C0" w:rsidRDefault="00146E63" w:rsidP="00146E63">
      <w:pPr>
        <w:pStyle w:val="ListParagraph"/>
        <w:numPr>
          <w:ilvl w:val="0"/>
          <w:numId w:val="15"/>
        </w:numPr>
      </w:pPr>
      <w:r w:rsidRPr="003F3E1B">
        <w:rPr>
          <w:b/>
          <w:bCs/>
          <w:u w:val="single"/>
        </w:rPr>
        <w:t xml:space="preserve">Location of </w:t>
      </w:r>
      <w:r w:rsidR="003F3E1B">
        <w:rPr>
          <w:b/>
          <w:bCs/>
          <w:u w:val="single"/>
        </w:rPr>
        <w:t>I</w:t>
      </w:r>
      <w:r w:rsidRPr="003F3E1B">
        <w:rPr>
          <w:b/>
          <w:bCs/>
          <w:u w:val="single"/>
        </w:rPr>
        <w:t>nformation</w:t>
      </w:r>
      <w:r>
        <w:t xml:space="preserve">: it should be part of its </w:t>
      </w:r>
      <w:r w:rsidR="00895169">
        <w:t>general-purpose</w:t>
      </w:r>
      <w:r>
        <w:t xml:space="preserve"> financial reporting – this is integrated with the current FS disclosures and not separate.</w:t>
      </w:r>
    </w:p>
    <w:p w14:paraId="19F11FE1" w14:textId="2717788D" w:rsidR="003F3E1B" w:rsidRDefault="003F3E1B" w:rsidP="003F3E1B"/>
    <w:p w14:paraId="19F589BD" w14:textId="3FE64F47" w:rsidR="00F11917" w:rsidRDefault="003F3E1B" w:rsidP="00E902FC">
      <w:r>
        <w:t>The text in IFRS S2 is largely similar to IFRS S1, except that it is worded for ‘climate change’. There is a greater specification on the details – for example, IFRS S2:21(a) under metrics make specific mention of Greenhouse Gases (GHG) Scope 1, 2, 3 emissions. IFRS S2 also stipulates that information should be disclosed separately for groups – in terms of making a distinction between subsidiaries, but also reporting on the activities of its associates and joint ventures. This puts an added interest in the parent owners to take an interest in its ownings where it has significant influence – creating more avenues of influence to</w:t>
      </w:r>
      <w:r w:rsidR="00C524D3">
        <w:t xml:space="preserve"> steer corporate strategy towards ESG.</w:t>
      </w:r>
    </w:p>
    <w:p w14:paraId="017C29BE" w14:textId="135A146D" w:rsidR="00207C01" w:rsidRDefault="00207C01" w:rsidP="00E902FC"/>
    <w:p w14:paraId="53CD010B" w14:textId="69A4ACEF" w:rsidR="001C07B9" w:rsidRDefault="00207C01" w:rsidP="00A91107">
      <w:pPr>
        <w:pStyle w:val="Heading3"/>
      </w:pPr>
      <w:bookmarkStart w:id="22" w:name="_Toc113806109"/>
      <w:r>
        <w:t>Critique on ISSB’s Exposure Drafts</w:t>
      </w:r>
      <w:bookmarkEnd w:id="22"/>
    </w:p>
    <w:p w14:paraId="204B8DF1" w14:textId="2BDED2B5" w:rsidR="00FB2D37" w:rsidRDefault="008A616A" w:rsidP="00E902FC">
      <w:r>
        <w:t>Public accounting bodies have responded with critiques on the exposure drafts. As part of the exercise, the ISSB had laid out questions to solicit feedback. The general feedback from these bodies was that the ambiguity in ISSB’s proposed standards should be reduced, and tha</w:t>
      </w:r>
      <w:r w:rsidR="00FA7688">
        <w:t>t more terms need to be defined tightly</w:t>
      </w:r>
      <w:r w:rsidR="00C013B9">
        <w:t xml:space="preserve">. </w:t>
      </w:r>
      <w:r w:rsidR="006828F2">
        <w:t xml:space="preserve">It was highlighted that standardisation between </w:t>
      </w:r>
      <w:r w:rsidR="00FB2D37">
        <w:t>different standard-setting bodies should be a goal to be pursued.</w:t>
      </w:r>
    </w:p>
    <w:p w14:paraId="1E462300" w14:textId="03B98827" w:rsidR="00717DCF" w:rsidRDefault="00717DCF" w:rsidP="00E902FC"/>
    <w:p w14:paraId="7FA8E8C7" w14:textId="5F26F35D" w:rsidR="00717DCF" w:rsidRDefault="00717DCF" w:rsidP="00E902FC">
      <w:r>
        <w:t xml:space="preserve">Strickland (2022) highlighted that </w:t>
      </w:r>
      <w:r w:rsidR="009B28BD">
        <w:t xml:space="preserve"> creating a consistent </w:t>
      </w:r>
      <w:r>
        <w:t>global sustain</w:t>
      </w:r>
      <w:r w:rsidR="009B28BD">
        <w:t>ability taxonomy across jurisdictions is important.</w:t>
      </w:r>
      <w:r w:rsidR="00AF60CA">
        <w:t xml:space="preserve"> The AICPA expressed concern that the ISSB and European Financial Reporting Advisory Group (EFRAG) might create competing standards. The EFRAG’s standards were observed to be more prescriptive, than principle-based – simila</w:t>
      </w:r>
      <w:r w:rsidR="002100DA">
        <w:t>r to the divergence between the General Accepted Accounting Principles in the United States (perspective) and the International Financial Reporting Standards (principle-based). The TCFD structure was adopted in ISSB’s standards, but not in the EFRAG’s proposals.</w:t>
      </w:r>
      <w:r w:rsidR="00C822B0">
        <w:t xml:space="preserve"> Harding (2022) noted that where differences in key definitions </w:t>
      </w:r>
      <w:r w:rsidR="00C822B0" w:rsidRPr="00C822B0">
        <w:t>– (i) verifiability and understandability, (ii) materiality</w:t>
      </w:r>
      <w:r w:rsidR="00C822B0">
        <w:t>, and (iii)</w:t>
      </w:r>
      <w:r w:rsidR="00C822B0" w:rsidRPr="00C822B0">
        <w:t xml:space="preserve"> account</w:t>
      </w:r>
      <w:r w:rsidR="00C822B0">
        <w:t>ing</w:t>
      </w:r>
      <w:r w:rsidR="00C822B0" w:rsidRPr="00C822B0">
        <w:t xml:space="preserve"> fo</w:t>
      </w:r>
      <w:r w:rsidR="00C822B0">
        <w:t>r</w:t>
      </w:r>
      <w:r w:rsidR="00C822B0" w:rsidRPr="00C822B0">
        <w:t xml:space="preserve"> enterprise value creation.</w:t>
      </w:r>
      <w:r w:rsidR="002100DA">
        <w:t xml:space="preserve"> CIMA observed  that while the EU’s objective was to “</w:t>
      </w:r>
      <w:r w:rsidR="002100DA" w:rsidRPr="002100DA">
        <w:t>build on what exists and seek as much alignment as possible</w:t>
      </w:r>
      <w:r w:rsidR="002100DA">
        <w:t>” was virtuous (Harding, 2022), there is some way to go to make put this into practice.</w:t>
      </w:r>
    </w:p>
    <w:p w14:paraId="5CC1A140" w14:textId="0B540924" w:rsidR="00207C01" w:rsidRDefault="00207C01" w:rsidP="00E902FC"/>
    <w:p w14:paraId="54390846" w14:textId="77777777" w:rsidR="00C822B0" w:rsidRDefault="00207C01" w:rsidP="00E902FC">
      <w:r>
        <w:lastRenderedPageBreak/>
        <w:t xml:space="preserve">On materiality, </w:t>
      </w:r>
      <w:r w:rsidRPr="00207C01">
        <w:t xml:space="preserve">CIMA’s critique was that there were differences in the definition on materiality in the ISSB’s exposure draft vis-à-vis EFRAG’s guidance, which was an unnecessary variation (Harding, 2022). </w:t>
      </w:r>
    </w:p>
    <w:p w14:paraId="1D8CC758" w14:textId="77777777" w:rsidR="00C822B0" w:rsidRDefault="00C822B0" w:rsidP="00E902FC"/>
    <w:p w14:paraId="31EF6B58" w14:textId="2AFF41D1" w:rsidR="00207C01" w:rsidRDefault="00207C01" w:rsidP="00E902FC">
      <w:r w:rsidRPr="00207C01">
        <w:t>A separate critique said that more specific information on how materiality of sustainability information is needed, to guard against obscuring the disclosures’ usefulness (Strickland, 2022).</w:t>
      </w:r>
      <w:r w:rsidR="00762DE1">
        <w:t xml:space="preserve"> The critiques found it necessary to have more guidance on ‘significant’ should be interpreted to better inform what should be reported. Strickland (2022) pointed to the </w:t>
      </w:r>
      <w:r w:rsidR="00762DE1" w:rsidRPr="00762DE1">
        <w:t>Committee of Sponsoring Organizations of the Treadway Commission</w:t>
      </w:r>
      <w:r w:rsidR="00762DE1">
        <w:t xml:space="preserve"> (COSO) framework as a way to report risk.</w:t>
      </w:r>
    </w:p>
    <w:p w14:paraId="0CD89AC2" w14:textId="6CB5B806" w:rsidR="002100DA" w:rsidRDefault="002100DA" w:rsidP="00E902FC"/>
    <w:p w14:paraId="1261BD30" w14:textId="6FA64EE4" w:rsidR="002100DA" w:rsidRDefault="002100DA" w:rsidP="00E902FC">
      <w:r>
        <w:t>Ultimately,</w:t>
      </w:r>
      <w:r w:rsidR="00762DE1">
        <w:t xml:space="preserve"> these proposals are aimed at making sustainability information reported through the standards useful and comparable. Which is particularly useful when comparing the sustainability performance across different industries and geographies – in dimensions which are most likely to cause incompatibility. The challenge remains in harmonising and finding the right balance between prescription and a principle-based approach.</w:t>
      </w:r>
    </w:p>
    <w:p w14:paraId="30AABEB0" w14:textId="77777777" w:rsidR="00E902FC" w:rsidRDefault="00E902FC" w:rsidP="00E902FC">
      <w:pPr>
        <w:rPr>
          <w:i/>
          <w:iCs/>
          <w:sz w:val="28"/>
          <w:szCs w:val="28"/>
        </w:rPr>
      </w:pP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23" w:name="_Toc113806110"/>
      <w:r>
        <w:lastRenderedPageBreak/>
        <w:t>Sustainability and Climate Reporting Requirements</w:t>
      </w:r>
      <w:bookmarkEnd w:id="23"/>
    </w:p>
    <w:p w14:paraId="53DBD7BB" w14:textId="7FF52233" w:rsidR="00F11917" w:rsidRDefault="00F11917" w:rsidP="00F11917"/>
    <w:p w14:paraId="631990C0" w14:textId="24A8E738" w:rsidR="00483285" w:rsidRDefault="00F11917" w:rsidP="00F11917">
      <w:r>
        <w:t>From 2016, there has been a push from stock exchange regulatory bodies in Southeast Asia to mandate sustainability disclosures. Regulators across SE</w:t>
      </w:r>
      <w:r w:rsidR="00FD6FC8">
        <w:t>A have difference timelines and varying extents of requirements for sustainability disclosures. At the point of writing, there is no common sustainability reporting framework across the Association of South-East Asian Nations (ASEAN) members states (Loh et al., 2018). However, a commonality between regulators was a consensus on the GRI as a prescribed reporting framework.</w:t>
      </w:r>
      <w:r w:rsidR="00483285">
        <w:t xml:space="preserve"> </w:t>
      </w:r>
      <w:r w:rsidR="00483285" w:rsidRPr="00483285">
        <w:rPr>
          <w:b/>
          <w:bCs/>
          <w:highlight w:val="yellow"/>
        </w:rPr>
        <w:t>Figure (x)</w:t>
      </w:r>
      <w:r w:rsidR="00483285">
        <w:t xml:space="preserve"> shows the percentage adoption of different sustainability reporting frameworks for listed companies in the respective countries’ stock exchange</w:t>
      </w:r>
      <w:r w:rsidR="00031071">
        <w:t>, for reports issued for financial periods ending in 2021.</w:t>
      </w:r>
    </w:p>
    <w:p w14:paraId="4A3A8C1B" w14:textId="77777777" w:rsidR="00483285" w:rsidRDefault="00483285"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177ABE98" w:rsidR="00031071" w:rsidRDefault="00031071" w:rsidP="00031071">
      <w:pPr>
        <w:pStyle w:val="Caption"/>
        <w:spacing w:before="240"/>
      </w:pPr>
      <w:bookmarkStart w:id="24" w:name="_Toc113789627"/>
      <w:r>
        <w:t xml:space="preserve">Figure </w:t>
      </w:r>
      <w:fldSimple w:instr=" SEQ Figure \* ARABIC ">
        <w:r w:rsidR="00742778">
          <w:rPr>
            <w:noProof/>
          </w:rPr>
          <w:t>6</w:t>
        </w:r>
      </w:fldSimple>
      <w:r>
        <w:t>: Adoption of Various Sustainability Reporting Frameworks for Listed Companies, in Reports issued for Financial Periods ending in 2021 (GRI and NUS, 2022)</w:t>
      </w:r>
      <w:bookmarkEnd w:id="24"/>
    </w:p>
    <w:p w14:paraId="12FBDB20" w14:textId="77777777" w:rsidR="00031071" w:rsidRDefault="00031071" w:rsidP="00F11917"/>
    <w:p w14:paraId="364F34A6" w14:textId="114DC091" w:rsidR="004601F8" w:rsidRDefault="004601F8" w:rsidP="00F11917">
      <w:r>
        <w:t>Singapore, compared to other ASEAN countries, excelled in tracking and disclosing metrics across historical periods. This aids trend analysis, and makes Singapore-listed companies a suitable candidate for the analysis. In reports issued for financial periods ending in 2021, 99% of Singapore-listed companies reported with the GRI. This highlights the effectiveness of regulatory power in influencing disclosures. Singapore has also improved substantially in climate-related reporting from 2019 to 2021 (Loh and Tang, 2021).</w:t>
      </w:r>
    </w:p>
    <w:p w14:paraId="7C3E745E" w14:textId="77777777" w:rsidR="004601F8" w:rsidRDefault="004601F8" w:rsidP="00F11917"/>
    <w:p w14:paraId="728BFF12" w14:textId="516A02FC" w:rsidR="00EE5604" w:rsidRDefault="00031071" w:rsidP="00F11917">
      <w:r>
        <w:lastRenderedPageBreak/>
        <w:t>Regulators had also sought to portray themselves as a supporter of the TCFD recommendations.  An expectation is that with a regulatory push and a stronger mandate, more companies would incorporate disclosures recommended by TCFD.</w:t>
      </w:r>
      <w:r w:rsidR="00EE5604">
        <w:t xml:space="preserve"> Fang et al. (2022) sought to provide a comparison of regulatory efforts across six ASEAN member states – Indonesia, Malaysia, the Philippines, Singapore, Thailand, and Vietnam. This is summarised in Table (x):</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Disclosure requirements for publicly-listed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595CB899" w:rsidR="003043EE" w:rsidRPr="00C67071" w:rsidRDefault="003043EE" w:rsidP="003043EE">
            <w:pPr>
              <w:spacing w:line="240" w:lineRule="auto"/>
              <w:jc w:val="left"/>
              <w:rPr>
                <w:sz w:val="20"/>
                <w:szCs w:val="20"/>
              </w:rPr>
            </w:pPr>
            <w:r w:rsidRPr="00C67071">
              <w:rPr>
                <w:sz w:val="20"/>
                <w:szCs w:val="20"/>
              </w:rPr>
              <w:t>In 2021, collaboration with GRI – provides reporting frameworks 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77777777" w:rsidR="00C67071" w:rsidRPr="00C67071" w:rsidRDefault="00C67071" w:rsidP="00C67071">
            <w:pPr>
              <w:spacing w:line="240" w:lineRule="auto"/>
              <w:jc w:val="left"/>
              <w:rPr>
                <w:sz w:val="20"/>
                <w:szCs w:val="20"/>
              </w:rPr>
            </w:pPr>
            <w:r w:rsidRPr="00C67071">
              <w:rPr>
                <w:sz w:val="20"/>
                <w:szCs w:val="20"/>
              </w:rPr>
              <w:t>Required as listing rule.</w:t>
            </w:r>
          </w:p>
          <w:p w14:paraId="772D4E4A" w14:textId="77777777" w:rsidR="00C67071" w:rsidRPr="00C67071" w:rsidRDefault="00C67071" w:rsidP="00C67071">
            <w:pPr>
              <w:spacing w:line="240" w:lineRule="auto"/>
              <w:jc w:val="left"/>
              <w:rPr>
                <w:sz w:val="20"/>
                <w:szCs w:val="20"/>
              </w:rPr>
            </w:pPr>
          </w:p>
          <w:p w14:paraId="345A2F3F" w14:textId="20215B08"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77777777" w:rsidR="003043EE" w:rsidRDefault="00C67071" w:rsidP="00C67071">
            <w:pPr>
              <w:spacing w:line="240" w:lineRule="auto"/>
              <w:jc w:val="left"/>
              <w:rPr>
                <w:sz w:val="20"/>
                <w:szCs w:val="20"/>
              </w:rPr>
            </w:pPr>
            <w:r w:rsidRPr="00C67071">
              <w:rPr>
                <w:sz w:val="20"/>
                <w:szCs w:val="20"/>
              </w:rPr>
              <w:t>No mandate on 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recommend-ations.</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77777777" w:rsidR="00C67071" w:rsidRPr="00C67071" w:rsidRDefault="00C67071" w:rsidP="00C67071">
            <w:pPr>
              <w:spacing w:line="240" w:lineRule="auto"/>
              <w:jc w:val="left"/>
              <w:rPr>
                <w:sz w:val="20"/>
                <w:szCs w:val="20"/>
              </w:rPr>
            </w:pPr>
            <w:r w:rsidRPr="00C67071">
              <w:rPr>
                <w:sz w:val="20"/>
                <w:szCs w:val="20"/>
              </w:rPr>
              <w:t>From 2019, “comply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t>Singapore</w:t>
            </w:r>
          </w:p>
        </w:tc>
        <w:tc>
          <w:tcPr>
            <w:tcW w:w="2151" w:type="dxa"/>
          </w:tcPr>
          <w:p w14:paraId="2BF8EA5A" w14:textId="77777777" w:rsidR="00C67071" w:rsidRPr="00C67071" w:rsidRDefault="00C67071" w:rsidP="00C67071">
            <w:pPr>
              <w:spacing w:line="240" w:lineRule="auto"/>
              <w:jc w:val="left"/>
              <w:rPr>
                <w:sz w:val="20"/>
                <w:szCs w:val="20"/>
              </w:rPr>
            </w:pPr>
            <w:r w:rsidRPr="00C67071">
              <w:rPr>
                <w:sz w:val="20"/>
                <w:szCs w:val="20"/>
              </w:rPr>
              <w:t>From 2017, required to disclosure 5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77777777" w:rsidR="00C67071" w:rsidRPr="00C67071" w:rsidRDefault="00C67071" w:rsidP="00C67071">
            <w:pPr>
              <w:spacing w:line="240" w:lineRule="auto"/>
              <w:jc w:val="left"/>
              <w:rPr>
                <w:sz w:val="20"/>
                <w:szCs w:val="20"/>
              </w:rPr>
            </w:pPr>
            <w:r w:rsidRPr="00C67071">
              <w:rPr>
                <w:sz w:val="20"/>
                <w:szCs w:val="20"/>
              </w:rPr>
              <w:lastRenderedPageBreak/>
              <w:t>From 2022, to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7777777" w:rsidR="00C67071" w:rsidRPr="00C67071" w:rsidRDefault="00C67071" w:rsidP="00C67071">
            <w:pPr>
              <w:spacing w:line="240" w:lineRule="auto"/>
              <w:jc w:val="left"/>
              <w:rPr>
                <w:sz w:val="20"/>
                <w:szCs w:val="20"/>
              </w:rPr>
            </w:pPr>
            <w:r w:rsidRPr="00C67071">
              <w:rPr>
                <w:sz w:val="20"/>
                <w:szCs w:val="20"/>
              </w:rPr>
              <w:lastRenderedPageBreak/>
              <w:t>From 2017, requires 5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lastRenderedPageBreak/>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lastRenderedPageBreak/>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4191EBD3" w:rsidR="00424A76" w:rsidRPr="00C67071" w:rsidRDefault="00C67071" w:rsidP="00C67071">
            <w:pPr>
              <w:spacing w:line="240" w:lineRule="auto"/>
              <w:jc w:val="left"/>
              <w:rPr>
                <w:sz w:val="20"/>
                <w:szCs w:val="20"/>
              </w:rPr>
            </w:pPr>
            <w:r w:rsidRPr="00C67071">
              <w:rPr>
                <w:sz w:val="20"/>
                <w:szCs w:val="20"/>
              </w:rPr>
              <w:t>From 2021, mandatory to report via Form 56-1 One Report within 3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77777777" w:rsidR="003043EE" w:rsidRDefault="00C67071" w:rsidP="00C67071">
            <w:pPr>
              <w:spacing w:line="240" w:lineRule="auto"/>
              <w:jc w:val="left"/>
              <w:rPr>
                <w:sz w:val="20"/>
                <w:szCs w:val="20"/>
              </w:rPr>
            </w:pPr>
            <w:r w:rsidRPr="00C67071">
              <w:rPr>
                <w:sz w:val="20"/>
                <w:szCs w:val="20"/>
              </w:rPr>
              <w:t>No prescription on frameworks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3A8B2662" w:rsidR="003043EE" w:rsidRPr="00C67071" w:rsidRDefault="00C67071" w:rsidP="003043EE">
            <w:pPr>
              <w:spacing w:line="240" w:lineRule="auto"/>
              <w:jc w:val="left"/>
              <w:rPr>
                <w:sz w:val="20"/>
                <w:szCs w:val="20"/>
              </w:rPr>
            </w:pPr>
            <w:r w:rsidRPr="00C67071">
              <w:rPr>
                <w:sz w:val="20"/>
                <w:szCs w:val="20"/>
              </w:rPr>
              <w:t>In Nov 2021, 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(e.g.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65B0F4B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3F4D715A" w:rsidR="007D637A" w:rsidRDefault="00310EFA" w:rsidP="00310EFA">
      <w:pPr>
        <w:pStyle w:val="Caption"/>
        <w:spacing w:before="240"/>
      </w:pPr>
      <w:r>
        <w:t xml:space="preserve">Table </w:t>
      </w:r>
      <w:fldSimple w:instr=" SEQ Table \* ARABIC ">
        <w:r w:rsidR="00341478">
          <w:rPr>
            <w:noProof/>
          </w:rPr>
          <w:t>3</w:t>
        </w:r>
      </w:fldSimple>
      <w:r>
        <w:t>: Sustainability Disclosure Requirements by Country</w:t>
      </w:r>
    </w:p>
    <w:p w14:paraId="44862354" w14:textId="7FC540AF" w:rsidR="00552166" w:rsidRPr="00F11917" w:rsidRDefault="00552166" w:rsidP="00F11917">
      <w:r>
        <w:br w:type="page"/>
      </w:r>
    </w:p>
    <w:p w14:paraId="0CA61396" w14:textId="689F5B80" w:rsidR="00042156" w:rsidRDefault="00042156" w:rsidP="00042156">
      <w:pPr>
        <w:pStyle w:val="Heading2"/>
      </w:pPr>
      <w:bookmarkStart w:id="25" w:name="_Toc113806111"/>
      <w:r>
        <w:lastRenderedPageBreak/>
        <w:t>Sustainability Reports</w:t>
      </w:r>
      <w:bookmarkEnd w:id="25"/>
    </w:p>
    <w:p w14:paraId="303B1E46" w14:textId="0E809E0C" w:rsidR="00042156" w:rsidRDefault="00042156" w:rsidP="00B02A1E"/>
    <w:p w14:paraId="19D184DC" w14:textId="20CFEE18" w:rsidR="00042156" w:rsidRDefault="00042156" w:rsidP="00B02A1E">
      <w:r>
        <w:t>These sustainability disclosures have culminated in sustainability reports.</w:t>
      </w:r>
      <w:r w:rsidR="00197E21">
        <w:t xml:space="preserve"> Especially for listed companies, </w:t>
      </w:r>
      <w:r w:rsidR="00197E21" w:rsidRPr="00197E21">
        <w:t>Communication strategies are aimed at engaging with the constant public scrutiny, in accordance with the basic standards of ESG reporting</w:t>
      </w:r>
      <w:r w:rsidR="00197E21">
        <w:t xml:space="preserve"> (</w:t>
      </w:r>
      <w:r w:rsidR="00197E21" w:rsidRPr="00197E21">
        <w:t>Parasharya</w:t>
      </w:r>
      <w:r w:rsidR="00197E21">
        <w:t>, 2022).</w:t>
      </w:r>
    </w:p>
    <w:p w14:paraId="21322031" w14:textId="1B09BB50" w:rsidR="007D03F3" w:rsidRDefault="007D03F3" w:rsidP="00B02A1E"/>
    <w:p w14:paraId="366AEB4A" w14:textId="2F1BA7B1" w:rsidR="00042156" w:rsidRDefault="007D03F3" w:rsidP="007D03F3">
      <w:pPr>
        <w:pStyle w:val="Heading3"/>
      </w:pPr>
      <w:bookmarkStart w:id="26" w:name="_Toc113806112"/>
      <w:r>
        <w:t>Readability of Sustainability Reports</w:t>
      </w:r>
      <w:bookmarkEnd w:id="26"/>
    </w:p>
    <w:p w14:paraId="076D174C" w14:textId="1214BACA" w:rsidR="00BE397A" w:rsidRDefault="00042156" w:rsidP="00B02A1E">
      <w:r>
        <w:t xml:space="preserve">Townsend et al. (2010) observed that the primary motivation behind readers’ use of sustainability reports is to inform (i) decisions on the use of an organisations’ products or services and (ii) investment or divestment decisions. </w:t>
      </w:r>
      <w:r w:rsidR="00552166">
        <w:t>The GRI proposes a tenant of ‘balance’ – that reports should ideally be composed of a balance between positive and negative news (GRI, 2013).</w:t>
      </w:r>
    </w:p>
    <w:p w14:paraId="05AA0478" w14:textId="667A2E9B" w:rsidR="009E5CA3" w:rsidRDefault="009E5CA3" w:rsidP="00B02A1E"/>
    <w:p w14:paraId="7F1A8F9E" w14:textId="388E843B" w:rsidR="00E163CA" w:rsidRDefault="009E5CA3" w:rsidP="00B02A1E">
      <w:r>
        <w:t xml:space="preserve">The sustainability report is a specialised document that </w:t>
      </w:r>
      <w:r w:rsidR="00EB2635">
        <w:t>is widely read</w:t>
      </w:r>
      <w:r>
        <w:t xml:space="preserve">, </w:t>
      </w:r>
      <w:r w:rsidR="00EB2635">
        <w:t>given</w:t>
      </w:r>
      <w:r>
        <w:t xml:space="preserve"> the important information that is contained</w:t>
      </w:r>
      <w:r w:rsidR="00EB2635">
        <w:t>, but its readers do not read extensively</w:t>
      </w:r>
      <w:r>
        <w:t>.</w:t>
      </w:r>
      <w:r w:rsidR="00E163CA">
        <w:t xml:space="preserve"> This can be attributed to its difficult readability.</w:t>
      </w:r>
      <w:r>
        <w:t xml:space="preserve"> The average reader reads three (3) reports, while the 95</w:t>
      </w:r>
      <w:r w:rsidRPr="009E5CA3">
        <w:rPr>
          <w:vertAlign w:val="superscript"/>
        </w:rPr>
        <w:t>th</w:t>
      </w:r>
      <w:r>
        <w:t xml:space="preserve"> percentile of readers read only between 10 and 20 reports per year  (</w:t>
      </w:r>
      <w:r w:rsidRPr="009E5CA3">
        <w:t>Smeuninx</w:t>
      </w:r>
      <w:r>
        <w:t xml:space="preserve"> et al., 2020). </w:t>
      </w:r>
    </w:p>
    <w:p w14:paraId="00951114" w14:textId="77777777" w:rsidR="00E163CA" w:rsidRDefault="00E163CA" w:rsidP="00B02A1E"/>
    <w:p w14:paraId="674E947F" w14:textId="0899EC09" w:rsidR="009F25D8" w:rsidRDefault="009E5CA3" w:rsidP="00B02A1E">
      <w:r>
        <w:t>While sustainability reports have much in common with the notably difficult-to-read genre of corporate financial reporting</w:t>
      </w:r>
      <w:r w:rsidR="00501D8A">
        <w:t>, financial information typically targets a specialised readership of investors and analysts who are likely better equipped to deal with its complexity</w:t>
      </w:r>
      <w:r>
        <w:t xml:space="preserve"> (Courtis, 1995; Courtis, 1998; Stanton and Stanton, 2002; Li, 2008</w:t>
      </w:r>
      <w:r w:rsidR="00F20A44">
        <w:t>a</w:t>
      </w:r>
      <w:r>
        <w:t>).</w:t>
      </w:r>
      <w:r w:rsidR="00E163CA">
        <w:t xml:space="preserve"> The average person will struggle to decode sustainability reports (Farewell et al., 2014).</w:t>
      </w:r>
      <w:r>
        <w:t xml:space="preserve"> Sustainability reporting is a developing phenomenon, and its current consumers may not be as well equipped to read them. The readability of these reports is potentially a accessibility barrier for the information in these reports to inform the stakeholders it seeks to reach.</w:t>
      </w:r>
      <w:r w:rsidR="00E163CA">
        <w:t xml:space="preserve"> Companies should therefore, work harder to choose simple language</w:t>
      </w:r>
      <w:r w:rsidR="00134AAB">
        <w:t xml:space="preserve"> (Farewell et al., 2014)</w:t>
      </w:r>
      <w:r w:rsidR="00E163CA">
        <w:t>.</w:t>
      </w:r>
    </w:p>
    <w:p w14:paraId="1400B8DD" w14:textId="7AC0B479" w:rsidR="0078476D" w:rsidRDefault="0078476D" w:rsidP="00B02A1E"/>
    <w:p w14:paraId="77D5E675" w14:textId="26B11974" w:rsidR="00A90806" w:rsidRDefault="0078476D" w:rsidP="00B02A1E">
      <w:r>
        <w:lastRenderedPageBreak/>
        <w:t>Interestingly, it was noted in Abu Bakar (2011) that for Malaysian firms, the communications’ readability deteriorates as the company performance does. This is supported by the obfuscation hypothesis of Courtis (1998) and Rutherford (2003).</w:t>
      </w:r>
    </w:p>
    <w:p w14:paraId="732A45BD" w14:textId="37C25241" w:rsidR="006C7A35" w:rsidRDefault="006C7A35" w:rsidP="00B02A1E"/>
    <w:p w14:paraId="34DA6559" w14:textId="2D760D91" w:rsidR="006C7A35" w:rsidRDefault="006C7A35" w:rsidP="00B02A1E">
      <w:r>
        <w:t>Parasharya (2022) observed that o</w:t>
      </w:r>
      <w:r w:rsidRPr="006C7A35">
        <w:t>ne of</w:t>
      </w:r>
      <w:r>
        <w:t xml:space="preserve"> </w:t>
      </w:r>
      <w:r w:rsidRPr="006C7A35">
        <w:t>the key and recurring insights is the immensity of the nominalisations, generalisations, and abstractions, which can be observed in NIKE, PepsiCo, and ExxonMobil’s website</w:t>
      </w:r>
      <w:r>
        <w:t>. The f</w:t>
      </w:r>
      <w:r w:rsidRPr="006C7A35">
        <w:t>requent use of ‘we’, ‘our’, ‘commitment’ and other market-oriented buzzwords pertaining to innovation and transformation makes for a genericised reading that leaves a lot unsaid, an assessment similar to the one made by Ledin and Machin (2018).</w:t>
      </w:r>
    </w:p>
    <w:p w14:paraId="51536DBB" w14:textId="08A5855D" w:rsidR="007D03F3" w:rsidRDefault="007D03F3" w:rsidP="00B02A1E"/>
    <w:p w14:paraId="50F9FFE0" w14:textId="6CF0A4F6" w:rsidR="007D03F3" w:rsidRDefault="007D03F3" w:rsidP="007D03F3">
      <w:pPr>
        <w:pStyle w:val="Heading3"/>
      </w:pPr>
      <w:bookmarkStart w:id="27" w:name="_Toc113806113"/>
      <w:r>
        <w:t>Assurance on Sustainability Reports</w:t>
      </w:r>
      <w:bookmarkEnd w:id="27"/>
    </w:p>
    <w:p w14:paraId="4F9E4AF3" w14:textId="67055077" w:rsidR="00EE28F7" w:rsidRDefault="007D03F3" w:rsidP="00B02A1E">
      <w:r>
        <w:t>Assurance is an essential component in building trust. In the spirit of attaining comparable and reliable sustainability information which is free from material misstatements, similar to financial information, more attention now needs to be paid to auditing.</w:t>
      </w:r>
    </w:p>
    <w:p w14:paraId="51ECDEFD" w14:textId="0733701F" w:rsidR="00CD3471" w:rsidRDefault="00CD3471" w:rsidP="00B02A1E"/>
    <w:p w14:paraId="5B61116E" w14:textId="6AE52071" w:rsidR="00CD3471" w:rsidRDefault="00CD3471" w:rsidP="00B02A1E">
      <w:r>
        <w:t xml:space="preserve">The </w:t>
      </w:r>
      <w:r w:rsidRPr="00CD3471">
        <w:t>International Auditing and Assurance Standards Board</w:t>
      </w:r>
      <w:r>
        <w:t xml:space="preserve"> had laid out its intention to draft a standard of auditing in response to the ISSB’s exposure drafts IFRS S1 and IFRS S2. In its comment letter, it commented that the exposure drafts </w:t>
      </w:r>
      <w:r w:rsidRPr="00CD3471">
        <w:t>lack</w:t>
      </w:r>
      <w:r>
        <w:t>ed</w:t>
      </w:r>
      <w:r w:rsidRPr="00CD3471">
        <w:t xml:space="preserve"> clarity about the meaning, scope, or application of certain key concepts, which may, in addition to other challenges, create a completeness challenge for assurance practitioners</w:t>
      </w:r>
      <w:r w:rsidR="001137B0">
        <w:t xml:space="preserve"> (Brewer, 2022)</w:t>
      </w:r>
      <w:r w:rsidRPr="00CD3471">
        <w:t>.</w:t>
      </w:r>
    </w:p>
    <w:p w14:paraId="06DAB3B8" w14:textId="0F2D48FA" w:rsidR="00CD3471" w:rsidRDefault="00CD3471" w:rsidP="00B02A1E"/>
    <w:p w14:paraId="57556A56" w14:textId="1E5BACEE" w:rsidR="00CD3471" w:rsidRDefault="00CD3471" w:rsidP="00B02A1E">
      <w:r>
        <w:t>The ‘ability for assurance’</w:t>
      </w:r>
      <w:r w:rsidRPr="00CD3471">
        <w:t>, in the context of reporting standards, means whether they are designed in the manner that results in sustainability information on which an assurance engagement can be performed</w:t>
      </w:r>
      <w:r w:rsidR="001137B0">
        <w:t xml:space="preserve"> (Brewer, 2022)</w:t>
      </w:r>
      <w:r>
        <w:t xml:space="preserve">. However, the challenge remains that in IFRS S1 and IFRS S2, </w:t>
      </w:r>
      <w:r w:rsidRPr="00CD3471">
        <w:t>multiple levels of criterion may</w:t>
      </w:r>
      <w:r>
        <w:t xml:space="preserve"> </w:t>
      </w:r>
      <w:r w:rsidRPr="00CD3471">
        <w:t>be used in the recognition, measurement, presentation, and disclosure of sustainability information.</w:t>
      </w:r>
      <w:r>
        <w:t xml:space="preserve"> This makes providing reasonable assurance a great challenge.</w:t>
      </w:r>
    </w:p>
    <w:p w14:paraId="20DB51B6" w14:textId="18DA6FE3" w:rsidR="00CD3471" w:rsidRDefault="00CD3471" w:rsidP="00B02A1E"/>
    <w:p w14:paraId="0F0316DC" w14:textId="48C8A6A1" w:rsidR="00CD3471" w:rsidRDefault="00CD3471" w:rsidP="00B02A1E">
      <w:r>
        <w:lastRenderedPageBreak/>
        <w:t xml:space="preserve">The prevailing standards relating to assurance on non-financial information include ISA 720 on </w:t>
      </w:r>
      <w:r w:rsidR="001137B0">
        <w:t>“</w:t>
      </w:r>
      <w:r w:rsidR="001137B0" w:rsidRPr="001137B0">
        <w:t>The Auditor’s Responsibilities Relating to Other Information</w:t>
      </w:r>
      <w:r w:rsidR="001137B0">
        <w:t>” and ISA 805 on “</w:t>
      </w:r>
      <w:r w:rsidR="001137B0" w:rsidRPr="001137B0">
        <w:t>Special Considerations</w:t>
      </w:r>
      <w:r w:rsidR="001137B0">
        <w:t xml:space="preserve"> – </w:t>
      </w:r>
      <w:r w:rsidR="001137B0" w:rsidRPr="001137B0">
        <w:t xml:space="preserve">Audits </w:t>
      </w:r>
      <w:r w:rsidR="001137B0">
        <w:t>o</w:t>
      </w:r>
      <w:r w:rsidR="001137B0" w:rsidRPr="001137B0">
        <w:t xml:space="preserve">f Single Financial Statements </w:t>
      </w:r>
      <w:r w:rsidR="001137B0">
        <w:t>a</w:t>
      </w:r>
      <w:r w:rsidR="001137B0" w:rsidRPr="001137B0">
        <w:t xml:space="preserve">nd Specific Elements, Accounts </w:t>
      </w:r>
      <w:r w:rsidR="001137B0">
        <w:t>o</w:t>
      </w:r>
      <w:r w:rsidR="001137B0" w:rsidRPr="001137B0">
        <w:t xml:space="preserve">r Items </w:t>
      </w:r>
      <w:r w:rsidR="001137B0">
        <w:t>o</w:t>
      </w:r>
      <w:r w:rsidR="001137B0" w:rsidRPr="001137B0">
        <w:t>f A Financial Statement</w:t>
      </w:r>
      <w:r w:rsidR="001137B0">
        <w:t>”. A new standard is needed to address sustainability-related information as the current ISAs relate to audits of financial information predominately, with little guidance on non-financial information, which sustainability- and climate-related information fall under.</w:t>
      </w:r>
    </w:p>
    <w:p w14:paraId="04676C09" w14:textId="37B04EA5" w:rsidR="00EE28F7" w:rsidRPr="00C41C2B" w:rsidRDefault="00EE28F7" w:rsidP="00EE28F7">
      <w:pPr>
        <w:spacing w:after="160" w:line="259" w:lineRule="auto"/>
        <w:jc w:val="left"/>
        <w:rPr>
          <w:i/>
          <w:iCs/>
          <w:sz w:val="28"/>
          <w:szCs w:val="28"/>
        </w:rPr>
      </w:pPr>
      <w:r>
        <w:br w:type="page"/>
      </w:r>
    </w:p>
    <w:p w14:paraId="3C70A56C" w14:textId="7769BC00" w:rsidR="00397D8B" w:rsidRPr="00EE28F7" w:rsidRDefault="00B02A1E" w:rsidP="00EE28F7">
      <w:pPr>
        <w:pStyle w:val="Heading2"/>
      </w:pPr>
      <w:bookmarkStart w:id="28" w:name="_Toc113806114"/>
      <w:r>
        <w:lastRenderedPageBreak/>
        <w:t>Theories in Sustainability Disclosure and Financial Performance</w:t>
      </w:r>
      <w:bookmarkEnd w:id="28"/>
    </w:p>
    <w:p w14:paraId="572CFEBD" w14:textId="54FA539F" w:rsidR="000327D2" w:rsidRDefault="000327D2" w:rsidP="00397D8B"/>
    <w:p w14:paraId="23022831" w14:textId="23F4F801" w:rsidR="00397D8B" w:rsidRDefault="00397D8B" w:rsidP="00397D8B">
      <w:r>
        <w:t>Sustainability reporting is a complex phenomenon that a single theory cannot explain (Cormier et al., 2005; Tagesson et al., 2009). Therefore, unifying all empirical findings within one theoretical framework remains a challenge.</w:t>
      </w:r>
      <w:r w:rsidR="000B1E09">
        <w:t xml:space="preserve"> Barnett (2007) remarked that we now “</w:t>
      </w:r>
      <w:r w:rsidR="000B1E09" w:rsidRPr="000B1E09">
        <w:t>understand the effects of isolated pieces of the overall puzzle, ceteris paribus, but the dots remain unconnected through any theoretical framework</w:t>
      </w:r>
      <w:r w:rsidR="000B1E09">
        <w:t>”.</w:t>
      </w:r>
      <w:r>
        <w:t xml:space="preserve"> </w:t>
      </w:r>
      <w:r w:rsidR="000B1E09">
        <w:t>It is necessary to maintain an openness that there may be mediator or moderator variables (e.g. a firm’s investment in intangible assets) which define the relationships between sustainability disclosure and financial performance (Blanco et al., 2012) – because there are inevitably still discrepancies among studies (Litzky et al., 2003).</w:t>
      </w:r>
    </w:p>
    <w:p w14:paraId="3005F87C" w14:textId="62A59E46" w:rsidR="003317E7" w:rsidRDefault="003317E7" w:rsidP="00397D8B"/>
    <w:p w14:paraId="06B5C105" w14:textId="5879EB34" w:rsidR="000B1E09" w:rsidRDefault="000B1E09" w:rsidP="00397D8B">
      <w:r>
        <w:t>Nevertheless, a combination of several theories – the legitimacy, institutional, stakeholder, signalling, and agency theory – aids an understanding of the theoretical relationship between CSR disclosures and financial performance.</w:t>
      </w:r>
    </w:p>
    <w:p w14:paraId="607DC795" w14:textId="77777777" w:rsidR="000B1E09" w:rsidRDefault="000B1E09" w:rsidP="00397D8B"/>
    <w:p w14:paraId="362F5E36" w14:textId="1EA698FC" w:rsidR="003317E7" w:rsidRPr="003317E7" w:rsidRDefault="003317E7" w:rsidP="003317E7">
      <w:pPr>
        <w:pStyle w:val="Heading3"/>
      </w:pPr>
      <w:bookmarkStart w:id="29" w:name="_Toc113806115"/>
      <w:r>
        <w:t>Legitimacy Theory</w:t>
      </w:r>
      <w:bookmarkEnd w:id="29"/>
    </w:p>
    <w:p w14:paraId="4D231A91" w14:textId="77777777" w:rsidR="005D5AAA" w:rsidRDefault="00397D8B" w:rsidP="00397D8B">
      <w:r>
        <w:t xml:space="preserve">The </w:t>
      </w:r>
      <w:r w:rsidRPr="003317E7">
        <w:t>legitimacy theory</w:t>
      </w:r>
      <w:r>
        <w:t xml:space="preserve"> suggests that it is necessary to achieve society’s approval for the company to survive. Companies need to act in congruence with society to uphold their business activities. (O’Donovan, 2002). Companies are encouraged to seek legitimacy through disclosures (Cho and Patten, 2007)</w:t>
      </w:r>
      <w:r w:rsidR="000327D2">
        <w:t>, some even being pressured by their stakeholders to make significant corporate social responsibility efforts (Brammar et al., 2007).</w:t>
      </w:r>
      <w:r w:rsidR="00411AEB">
        <w:t xml:space="preserve"> </w:t>
      </w:r>
    </w:p>
    <w:p w14:paraId="7A471DAA" w14:textId="77777777" w:rsidR="005D5AAA" w:rsidRDefault="005D5AAA" w:rsidP="00397D8B"/>
    <w:p w14:paraId="48A02D6F" w14:textId="56BF0C49" w:rsidR="005D5AAA" w:rsidRDefault="000327D2" w:rsidP="00397D8B">
      <w:r>
        <w:t>F</w:t>
      </w:r>
      <w:r w:rsidR="00411AEB">
        <w:t>irms interested in being legitimised by society will take an interest to report environmental information</w:t>
      </w:r>
      <w:r w:rsidR="00397D8B">
        <w:t xml:space="preserve">. CSR disclosures influence stakeholders’ and, eventually, society’s perceptions about the company, resulting in higher firm value and better financial performance (Hooghimstra, 2002). </w:t>
      </w:r>
    </w:p>
    <w:p w14:paraId="31F65DDC" w14:textId="5CB4B905" w:rsidR="005D5AAA" w:rsidRDefault="005D5AAA" w:rsidP="00397D8B"/>
    <w:p w14:paraId="579F77F0" w14:textId="209356E5" w:rsidR="00397D8B" w:rsidRDefault="005D5AAA" w:rsidP="00397D8B">
      <w:r>
        <w:t>Companies adopt several procedures and policies, such as voluntarily disclosing environmental information, in order to enhanced their perceived legitimacy (</w:t>
      </w:r>
      <w:r w:rsidR="00401124">
        <w:t xml:space="preserve">DiMaggio and Powell, 1883; </w:t>
      </w:r>
      <w:r>
        <w:t xml:space="preserve">Scott, 1995; Aguilera and Jackson, 2003; Delmas and </w:t>
      </w:r>
      <w:r>
        <w:lastRenderedPageBreak/>
        <w:t xml:space="preserve">Toffel, 2004). </w:t>
      </w:r>
      <w:r w:rsidR="00397D8B">
        <w:t xml:space="preserve">These </w:t>
      </w:r>
      <w:r>
        <w:t xml:space="preserve">motivations </w:t>
      </w:r>
      <w:r w:rsidR="00397D8B">
        <w:t xml:space="preserve">are </w:t>
      </w:r>
      <w:r>
        <w:t>exhibited</w:t>
      </w:r>
      <w:r w:rsidR="00397D8B">
        <w:t xml:space="preserve"> through the topics companies choose to report</w:t>
      </w:r>
      <w:r>
        <w:t xml:space="preserve"> and the extent to which they report</w:t>
      </w:r>
      <w:r w:rsidR="00397D8B">
        <w:t>.</w:t>
      </w:r>
    </w:p>
    <w:p w14:paraId="4F7943A4" w14:textId="7A24CA1C" w:rsidR="00465EAF" w:rsidRDefault="00465EAF" w:rsidP="00397D8B"/>
    <w:p w14:paraId="706A84B6" w14:textId="26926BBC" w:rsidR="00465EAF" w:rsidRDefault="00465EAF" w:rsidP="00397D8B">
      <w:r>
        <w:t>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Kearins, 2002.</w:t>
      </w:r>
    </w:p>
    <w:p w14:paraId="1A1DC9EC" w14:textId="77777777" w:rsidR="000B2105" w:rsidRDefault="000B2105" w:rsidP="00397D8B"/>
    <w:p w14:paraId="0AB2B283" w14:textId="0D5673FD" w:rsidR="000B2105" w:rsidRDefault="000B2105" w:rsidP="000B2105">
      <w:pPr>
        <w:pStyle w:val="Heading3"/>
      </w:pPr>
      <w:bookmarkStart w:id="30" w:name="_Toc113806116"/>
      <w:r>
        <w:t>Institutional Theory</w:t>
      </w:r>
      <w:bookmarkEnd w:id="30"/>
    </w:p>
    <w:p w14:paraId="15687551" w14:textId="1996B776" w:rsidR="000B2105" w:rsidRDefault="000B2105" w:rsidP="00397D8B">
      <w:r>
        <w:t>The institutional theory posits that structures that include norms, routines are established as authoritative guidelines for social behaviour. These structures become socially acceptable and legitimate within the environment’s organisational field (, 1995).</w:t>
      </w:r>
      <w:r w:rsidR="00FF0938">
        <w:t xml:space="preserve"> </w:t>
      </w:r>
      <w:r w:rsidR="00FF0938" w:rsidRPr="00FF0938">
        <w:t xml:space="preserve">Companies </w:t>
      </w:r>
      <w:r w:rsidR="00FF0938">
        <w:t>within</w:t>
      </w:r>
      <w:r w:rsidR="00FF0938" w:rsidRPr="00FF0938">
        <w:t xml:space="preserve"> </w:t>
      </w:r>
      <w:r w:rsidR="00FF0938">
        <w:t>similar</w:t>
      </w:r>
      <w:r w:rsidR="00FF0938" w:rsidRPr="00FF0938">
        <w:t xml:space="preserve"> institutional </w:t>
      </w:r>
      <w:r w:rsidR="00FF0938">
        <w:t>operating environments</w:t>
      </w:r>
      <w:r w:rsidR="00FF0938" w:rsidRPr="00FF0938">
        <w:t xml:space="preserve"> are </w:t>
      </w:r>
      <w:r w:rsidR="00FF0938">
        <w:t>coerced in</w:t>
      </w:r>
      <w:r w:rsidR="00FF0938" w:rsidRPr="00FF0938">
        <w:t>to behav</w:t>
      </w:r>
      <w:r w:rsidR="00FF0938">
        <w:t>ing similarly</w:t>
      </w:r>
      <w:r w:rsidR="00FF0938" w:rsidRPr="00FF0938">
        <w:t>.</w:t>
      </w:r>
      <w:r w:rsidR="00FF0938">
        <w:t xml:space="preserve"> For example, in Pucheta-Martinez et al. (2018), it was found that firms operating in Anglo-American corporate governance systems tend to report environmental information </w:t>
      </w:r>
      <w:r w:rsidR="0061300D">
        <w:t>voluntarily. Ownership structure and type affects intellectual capital disclosure (Li et al., 2008</w:t>
      </w:r>
      <w:r w:rsidR="00F20A44">
        <w:t>b</w:t>
      </w:r>
      <w:r w:rsidR="0061300D">
        <w:t xml:space="preserve">), and this observation can be similarly extended to environmental </w:t>
      </w:r>
      <w:r w:rsidR="005D5AAA">
        <w:t>reporting policies.</w:t>
      </w:r>
      <w:r w:rsidR="00401124">
        <w:t xml:space="preserve"> </w:t>
      </w:r>
      <w:r w:rsidR="00401124" w:rsidRPr="00401124">
        <w:t xml:space="preserve">Jensen </w:t>
      </w:r>
      <w:r w:rsidR="00401124">
        <w:t>and</w:t>
      </w:r>
      <w:r w:rsidR="00401124" w:rsidRPr="00401124">
        <w:t xml:space="preserve"> Berg (2012) and Fasan et al. (2016) </w:t>
      </w:r>
      <w:r w:rsidR="00401124">
        <w:t xml:space="preserve">have </w:t>
      </w:r>
      <w:r w:rsidR="00401124" w:rsidRPr="00401124">
        <w:t>demonstrat</w:t>
      </w:r>
      <w:r w:rsidR="00401124">
        <w:t>ed</w:t>
      </w:r>
      <w:r w:rsidR="00401124" w:rsidRPr="00401124">
        <w:t xml:space="preserve"> that a country’s institutional features drive integrated reporting and its quality.</w:t>
      </w:r>
    </w:p>
    <w:p w14:paraId="59914462" w14:textId="34F9599D" w:rsidR="001A3292" w:rsidRDefault="001A3292" w:rsidP="00397D8B"/>
    <w:p w14:paraId="5CEFB918" w14:textId="3600575A" w:rsidR="001A3292" w:rsidRDefault="001A3292" w:rsidP="00397D8B">
      <w:r>
        <w:t xml:space="preserve">This study focuses on firms listed on the Singapore Stock Exchange in the Straits Times Index. These primarily consists of firms domiciled in Singapore and Hong Kong. </w:t>
      </w:r>
      <w:r w:rsidR="0061300D">
        <w:t xml:space="preserve">These firms are likely to operate with an </w:t>
      </w:r>
      <w:r>
        <w:t>Anglo-American corporate governance system</w:t>
      </w:r>
      <w:r w:rsidR="005D5AAA">
        <w:t xml:space="preserve"> – where there is high-ownership dispersion, a financial system oriented towards markets, strong investor protection from a common law legal system, shareholder orientation and the scarce presence of dominant owners in firms (</w:t>
      </w:r>
      <w:r w:rsidR="005D5AAA" w:rsidRPr="005D5AAA">
        <w:t>Pucheta-Martinez et al.</w:t>
      </w:r>
      <w:r w:rsidR="005D5AAA">
        <w:t>, 2018).</w:t>
      </w:r>
      <w:r w:rsidR="00C12F9D">
        <w:t xml:space="preserve"> The expectation is that these firms will report environmental information more voluntarily.</w:t>
      </w:r>
    </w:p>
    <w:p w14:paraId="4623F8E1" w14:textId="6D0F99C4" w:rsidR="009F56AC" w:rsidRDefault="009F56AC" w:rsidP="00397D8B"/>
    <w:p w14:paraId="0A8ADFBB" w14:textId="57367066" w:rsidR="009F56AC" w:rsidRDefault="009F56AC" w:rsidP="00397D8B">
      <w:r>
        <w:t xml:space="preserve">Pucheta-Martinez et al. (2018) finds several factors are significant in affecting environmental reporting: (i) </w:t>
      </w:r>
      <w:r w:rsidRPr="00CF29F3">
        <w:rPr>
          <w:b/>
          <w:bCs/>
        </w:rPr>
        <w:t>ownership dispersion</w:t>
      </w:r>
      <w:r>
        <w:t xml:space="preserve"> encourages firms to publish more environmental information to address </w:t>
      </w:r>
      <w:r w:rsidR="00CF29F3">
        <w:t xml:space="preserve">the risk of information asymmetry, (ii) more </w:t>
      </w:r>
      <w:r w:rsidR="00CF29F3" w:rsidRPr="00CF29F3">
        <w:rPr>
          <w:b/>
          <w:bCs/>
        </w:rPr>
        <w:t>financing in the capital market</w:t>
      </w:r>
      <w:r w:rsidR="00CF29F3">
        <w:t xml:space="preserve"> encourages transparency through public disclosures, and (iii) the type of industry. However, they found that investor protection was not a statistically significant factor.</w:t>
      </w:r>
      <w:r w:rsidR="002A3E36">
        <w:t xml:space="preserve"> These observations are reflective of the observations in institutional theory and have similar elements in stakeholder and signalling theory.</w:t>
      </w:r>
    </w:p>
    <w:p w14:paraId="368235D8" w14:textId="3C586DFF" w:rsidR="00DF0A7D" w:rsidRDefault="00DF0A7D" w:rsidP="00397D8B"/>
    <w:p w14:paraId="2780A7E7" w14:textId="78079816" w:rsidR="00DF0A7D" w:rsidRDefault="00DF0A7D" w:rsidP="00DF0A7D">
      <w:pPr>
        <w:pStyle w:val="Heading3"/>
      </w:pPr>
      <w:bookmarkStart w:id="31" w:name="_Toc113806117"/>
      <w:r>
        <w:t>Stakeholder Theory</w:t>
      </w:r>
      <w:bookmarkEnd w:id="31"/>
    </w:p>
    <w:p w14:paraId="3D7C061F" w14:textId="2BB55F7B" w:rsidR="00DF0A7D" w:rsidRDefault="00625E23" w:rsidP="00397D8B">
      <w:r>
        <w:t>A common approach to analysing firms’ corporate disclosure is the Stakeholder theory. (Huang and Kung, 2010). This</w:t>
      </w:r>
      <w:r w:rsidR="00DF0A7D">
        <w:t xml:space="preserve"> suggests that firms accede to the needs of stakeholders – more than merely the needs of shareholders</w:t>
      </w:r>
      <w:r>
        <w:t xml:space="preserve"> </w:t>
      </w:r>
      <w:r w:rsidR="005F282F">
        <w:t xml:space="preserve">(Ruf et al., 2001) </w:t>
      </w:r>
      <w:r>
        <w:t>– because of stakeholder’s expectations on a firm.</w:t>
      </w:r>
      <w:r w:rsidR="005F282F">
        <w:t xml:space="preserve"> It is insufficient for managers to fus exclusively on the perceived needs of shareholders (McWilliams et al., 2006).</w:t>
      </w:r>
      <w:r>
        <w:t xml:space="preserve"> They (firms) </w:t>
      </w:r>
      <w:r w:rsidRPr="00625E23">
        <w:t>will be influenced not only by agents with strong power and dependency (shareholders, employees, or investors, among others), considered internal stakeholders, but also by external stakeholders, such as social and environmental activities, professional critics, the media or the press</w:t>
      </w:r>
      <w:r>
        <w:t xml:space="preserve"> </w:t>
      </w:r>
      <w:r w:rsidRPr="00625E23">
        <w:t>(Mitchell</w:t>
      </w:r>
      <w:r>
        <w:t xml:space="preserve"> et al.</w:t>
      </w:r>
      <w:r w:rsidRPr="00625E23">
        <w:t>, 1997).</w:t>
      </w:r>
      <w:r w:rsidR="005F282F">
        <w:t xml:space="preserve"> </w:t>
      </w:r>
      <w:r w:rsidR="005F282F" w:rsidRPr="005F282F">
        <w:t>When applied to a firm’s commitment to social activities, stakeholder theory supports a firm’s investment in CSR in order to enhance its relationship with its customers, employees, and shareholders</w:t>
      </w:r>
      <w:r w:rsidR="005F282F">
        <w:t xml:space="preserve"> (Rodgers et al., 2013)</w:t>
      </w:r>
      <w:r w:rsidR="005F282F" w:rsidRPr="005F282F">
        <w:t>.</w:t>
      </w:r>
    </w:p>
    <w:p w14:paraId="71C63256" w14:textId="5B8603B4" w:rsidR="00625E23" w:rsidRDefault="00625E23" w:rsidP="00397D8B"/>
    <w:p w14:paraId="5BB166D7" w14:textId="5159B7A7" w:rsidR="000B2105" w:rsidRDefault="00625E23" w:rsidP="00397D8B">
      <w:r>
        <w:t>In this regard, Pucheta-Martinez et al. (2018) posits that stakeholders expect firms to voluntarily disclose CSR matters such as environmental and social information, because it helps them mitigate information asymmetries and capital cost.</w:t>
      </w:r>
      <w:r w:rsidR="0050457B">
        <w:t xml:space="preserve"> Several studies have concluded that environmental, social, and governance factors are influenced by planning mechanisms and the management’s control over the ability of a firm to create value for stakeholders (Jamali, 2008). The recent view, now, is that doing so would improve</w:t>
      </w:r>
      <w:r w:rsidR="0050457B" w:rsidRPr="0050457B">
        <w:t xml:space="preserve"> relationships between stakeholders and companies in the long run and protect the expectations and interests of stakeholders</w:t>
      </w:r>
      <w:r w:rsidR="0050457B">
        <w:t xml:space="preserve"> (Cupertino et al., 2019).</w:t>
      </w:r>
    </w:p>
    <w:p w14:paraId="79E76BB0" w14:textId="77777777" w:rsidR="0076614F" w:rsidRDefault="0076614F" w:rsidP="00397D8B"/>
    <w:p w14:paraId="1BC914CC" w14:textId="44702E22" w:rsidR="00397D8B" w:rsidRDefault="003317E7" w:rsidP="003317E7">
      <w:pPr>
        <w:pStyle w:val="Heading3"/>
      </w:pPr>
      <w:bookmarkStart w:id="32" w:name="_Toc113806118"/>
      <w:r>
        <w:lastRenderedPageBreak/>
        <w:t>Signalling Theory</w:t>
      </w:r>
      <w:bookmarkEnd w:id="32"/>
    </w:p>
    <w:p w14:paraId="3672D97B" w14:textId="77777777" w:rsidR="006737F5" w:rsidRDefault="00397D8B" w:rsidP="00397D8B">
      <w:r w:rsidRPr="003317E7">
        <w:t>Signalling theory</w:t>
      </w:r>
      <w:r>
        <w:t xml:space="preserve"> underpins the notion that an agent (company executives) conveys information to the principal (stakeholders). In the context of sustainability, investors and consumers have difficulties in determining which firms are genuinely committed to sustainability (Connelly et al., 2011)</w:t>
      </w:r>
      <w:r w:rsidR="00552166">
        <w:t>.</w:t>
      </w:r>
      <w:r>
        <w:t xml:space="preserve"> </w:t>
      </w:r>
      <w:r w:rsidR="006737F5">
        <w:t xml:space="preserve">CSR activities and ESG management can also be seen as a type of signal companies send to its stakeholders (Backhaus et al., 2002). </w:t>
      </w:r>
      <w:r>
        <w:t>Companies that disclose environmental issues signal that they are engaged in proactive environmental strategy.</w:t>
      </w:r>
      <w:r w:rsidR="00552166">
        <w:t xml:space="preserve"> They seek to indicate underlying qualities and build corporate reputation</w:t>
      </w:r>
      <w:r w:rsidR="00710254">
        <w:t xml:space="preserve"> through showcasing the execution of CSR processes (Varda, 2014).</w:t>
      </w:r>
      <w:r w:rsidR="006737F5">
        <w:t xml:space="preserve"> </w:t>
      </w:r>
    </w:p>
    <w:p w14:paraId="636F430F" w14:textId="77777777" w:rsidR="004528CF" w:rsidRDefault="004528CF" w:rsidP="00397D8B"/>
    <w:p w14:paraId="30037558" w14:textId="3F65A732" w:rsidR="00710254" w:rsidRDefault="006737F5" w:rsidP="004528CF">
      <w:r>
        <w:t>Because external stakeholders</w:t>
      </w:r>
      <w:r w:rsidR="00397D8B">
        <w:t xml:space="preserve"> </w:t>
      </w:r>
      <w:r>
        <w:t xml:space="preserve">are not necessarily privy to the internal operations of a company, they rely on signals sent by companies. The effect the signal has is therefore dependent on how stakeholders interpret the signals emitted by the company through CSG activities and ESG management. These companies have a higher corporate reputation and attractiveness, </w:t>
      </w:r>
      <w:r w:rsidR="004528CF">
        <w:t>and people can react to a firm’s CSR investment by seeking employment with the firm, instead of just purchasing products from it. (Greening and Turban, 2000). This in turn improves corporate competitiveness (Greening and Turban, 1997). These effects may</w:t>
      </w:r>
      <w:r>
        <w:t xml:space="preserve"> indirectly</w:t>
      </w:r>
      <w:r w:rsidR="004528CF">
        <w:t xml:space="preserve"> </w:t>
      </w:r>
      <w:r>
        <w:t>lead to better financial performance as well.</w:t>
      </w:r>
    </w:p>
    <w:p w14:paraId="5B8D9EB0" w14:textId="77777777" w:rsidR="00710254" w:rsidRDefault="00710254" w:rsidP="00397D8B"/>
    <w:p w14:paraId="649EFF82" w14:textId="4722B648" w:rsidR="00710254" w:rsidRDefault="00397D8B" w:rsidP="00397D8B">
      <w:r>
        <w:t>There is an incentive to inform principals by voluntarily disclosing more, as positive signals are more appealing (Clarkson et al., 2008).</w:t>
      </w:r>
      <w:r w:rsidR="00710254">
        <w:t xml:space="preserve"> Varda (2014) posited that there are incentives for companies with better results to disseminate those results more efficiently, and potentially vice versa.</w:t>
      </w:r>
      <w:r w:rsidR="006737F5">
        <w:t xml:space="preserve"> There are also other spill-over effects. Employees of companies with excellent ESG management performance show less work neglect and absenteeism, which positively influences labour productivity (Flammer and Luo, 2017).</w:t>
      </w:r>
    </w:p>
    <w:p w14:paraId="3B85D68F" w14:textId="77777777" w:rsidR="00710254" w:rsidRDefault="00710254" w:rsidP="00397D8B"/>
    <w:p w14:paraId="0C2F8B16" w14:textId="5BC9B7DA" w:rsidR="00397D8B" w:rsidRDefault="00397D8B" w:rsidP="00397D8B">
      <w:r>
        <w:t>Sentiment analysis of sustainability reports may reveal insights into the relationship between the sentiments expressed in these reports and financial performance.</w:t>
      </w:r>
    </w:p>
    <w:p w14:paraId="16F78E95" w14:textId="4C9557E0" w:rsidR="00397D8B" w:rsidRDefault="00397D8B" w:rsidP="00397D8B"/>
    <w:p w14:paraId="730D9DFE" w14:textId="724A5FF0" w:rsidR="003317E7" w:rsidRPr="003317E7" w:rsidRDefault="003317E7" w:rsidP="003317E7">
      <w:pPr>
        <w:pStyle w:val="Heading3"/>
      </w:pPr>
      <w:bookmarkStart w:id="33" w:name="_Toc113806119"/>
      <w:r w:rsidRPr="003317E7">
        <w:lastRenderedPageBreak/>
        <w:t>Agency Theory</w:t>
      </w:r>
      <w:bookmarkEnd w:id="33"/>
    </w:p>
    <w:p w14:paraId="1CCE5AFC" w14:textId="56A762CD" w:rsidR="00397D8B" w:rsidRDefault="00397D8B" w:rsidP="00397D8B">
      <w:r>
        <w:t xml:space="preserve">In tandem with </w:t>
      </w:r>
      <w:r w:rsidRPr="003317E7">
        <w:t>agency theory</w:t>
      </w:r>
      <w:r>
        <w:t>, voluntary disclosure of firms, mainly on social and environmental aspects, is a means to reduce current or potential agency costs that may occur in the form of legislation and regulation (Galani et al., 2012). This would close the gap between the misalignment of objectives between principals and their agents. By way of reducing information asymmetry, sustainability reporting would have positive effects on a firm’s perception.</w:t>
      </w:r>
    </w:p>
    <w:p w14:paraId="6E863FCA" w14:textId="2F4A291C" w:rsidR="00CC20F2" w:rsidRDefault="00CC20F2" w:rsidP="00397D8B"/>
    <w:p w14:paraId="3854842B" w14:textId="2B057FD4" w:rsidR="00747A20" w:rsidRDefault="00CC20F2" w:rsidP="00747A20">
      <w:pPr>
        <w:pStyle w:val="Heading3"/>
      </w:pPr>
      <w:bookmarkStart w:id="34" w:name="_Toc113806120"/>
      <w:r>
        <w:t>Resource Theories</w:t>
      </w:r>
      <w:bookmarkEnd w:id="34"/>
    </w:p>
    <w:p w14:paraId="302A28E6" w14:textId="52E1ADF1" w:rsidR="00747A20" w:rsidRDefault="00747A20" w:rsidP="00CC20F2">
      <w:r w:rsidRPr="00747A20">
        <w:t>Perceived ethics underlies one of the key metrics that determines the success or failure of any organisation, trust.</w:t>
      </w:r>
      <w:r>
        <w:t xml:space="preserve"> This is a form of organisational capital, and is a resource as important to a company as cash reserves</w:t>
      </w:r>
      <w:r w:rsidR="006C11ED">
        <w:t xml:space="preserve"> (ewenpx3orguk, n.d.)</w:t>
      </w:r>
      <w:r>
        <w:t>.</w:t>
      </w:r>
    </w:p>
    <w:p w14:paraId="48890C92" w14:textId="77777777" w:rsidR="00747A20" w:rsidRDefault="00747A20" w:rsidP="00CC20F2"/>
    <w:p w14:paraId="3DD0FC20" w14:textId="1D5F429C" w:rsidR="00607BE1" w:rsidRDefault="00CC20F2" w:rsidP="00CC20F2">
      <w:r>
        <w:t xml:space="preserve">The slack resource theory posited that corporates possessing more surplus can actively pursue CSR activities and ESG management than companies that do not (Waddaock and Graves, 1997). </w:t>
      </w:r>
      <w:r w:rsidRPr="00CC20F2">
        <w:t>Extra resources generated by a company’s performance are a decisive factor in influencing the company to pursue CSR activities and ESG management more actively (Artiach et al. 2010)</w:t>
      </w:r>
      <w:r>
        <w:t xml:space="preserve">. </w:t>
      </w:r>
    </w:p>
    <w:p w14:paraId="63AF105A" w14:textId="77777777" w:rsidR="00607BE1" w:rsidRDefault="00607BE1" w:rsidP="00CC20F2"/>
    <w:p w14:paraId="7C82B0B3" w14:textId="534C3E51" w:rsidR="00607BE1" w:rsidRDefault="00CC20F2" w:rsidP="00CC20F2">
      <w:r>
        <w:t>The resource-based theory supports the slack resource theory by furthering that a company’s internal resources decide the source of corporate competitive advantage (McWilliams and Siegel, 2011).</w:t>
      </w:r>
      <w:r w:rsidR="00607BE1">
        <w:t xml:space="preserve"> </w:t>
      </w:r>
      <w:r w:rsidR="00607BE1" w:rsidRPr="00607BE1">
        <w:t>CSR activities help managers develop better skills and firms develop intangible assets (e.g. brand name) which contribute to better financial performance (Russo and Fouts, 1997)</w:t>
      </w:r>
      <w:r w:rsidR="00607BE1">
        <w:t>.</w:t>
      </w:r>
    </w:p>
    <w:p w14:paraId="71DE4F6B" w14:textId="77777777" w:rsidR="00607BE1" w:rsidRDefault="00607BE1" w:rsidP="00CC20F2"/>
    <w:p w14:paraId="73B3D9F8" w14:textId="2EFF7CAC" w:rsidR="00607BE1" w:rsidRDefault="00607BE1" w:rsidP="00CC20F2">
      <w:r>
        <w:t xml:space="preserve">On the other hand, meeting stakeholder’s demand can be seen as a strategic investment – a resource (Ruf et al., 2001). </w:t>
      </w:r>
      <w:r w:rsidRPr="00607BE1">
        <w:t>By investing in such a strategy, organisations develop assets that are valuable, rare, and non-substitutable, such as leadership and positive social reputation – leading to a competitive advantage and potential higher return (Luo and Bhattacharya, 2006)</w:t>
      </w:r>
      <w:r>
        <w:t>.</w:t>
      </w:r>
    </w:p>
    <w:p w14:paraId="1A5EA4C2" w14:textId="3BE36AE3" w:rsidR="00607BE1" w:rsidRDefault="00607BE1" w:rsidP="00CC20F2"/>
    <w:p w14:paraId="1E885A16" w14:textId="1D5F6B32" w:rsidR="00607BE1" w:rsidRDefault="00607BE1" w:rsidP="00CC20F2">
      <w:r>
        <w:lastRenderedPageBreak/>
        <w:t>The theory leads to an explanation that CSR activities act as a company’s competitive advantage.</w:t>
      </w:r>
    </w:p>
    <w:p w14:paraId="70A00C71" w14:textId="470A3C7E" w:rsidR="00607BE1" w:rsidRDefault="00607BE1" w:rsidP="00CC20F2"/>
    <w:p w14:paraId="6EBF87E9" w14:textId="4B113B64" w:rsidR="00607BE1" w:rsidRDefault="00607BE1" w:rsidP="00CC20F2">
      <w:r>
        <w:t>Transaction Cost Economics</w:t>
      </w:r>
    </w:p>
    <w:p w14:paraId="6F2049A9" w14:textId="44B6CC89" w:rsidR="00607BE1" w:rsidRDefault="00607BE1" w:rsidP="00CC20F2"/>
    <w:p w14:paraId="33D16C3A" w14:textId="58D975CD" w:rsidR="00607BE1" w:rsidRDefault="00607BE1" w:rsidP="00CC20F2">
      <w:r>
        <w:t>This idea was mooted in Jones (1995) – that f</w:t>
      </w:r>
      <w:r w:rsidRPr="00607BE1">
        <w:t>irms would try to satisfy stakeholders’ needs to minimise potential transaction costs (Williamson, 1985)</w:t>
      </w:r>
      <w:r>
        <w:t>. It was explained that f</w:t>
      </w:r>
      <w:r w:rsidRPr="00607BE1">
        <w:t>irms with good CSR perceptions have low-cost implicit claims (from other stakeholders), whereas those with poor CSR perceptions more likely face high-cost explicit claims from shareholders</w:t>
      </w:r>
      <w:r w:rsidR="00FC2821">
        <w:t xml:space="preserve"> and</w:t>
      </w:r>
      <w:r w:rsidRPr="00607BE1">
        <w:t xml:space="preserve"> debt holders (Cornell and Shapiro, 1987</w:t>
      </w:r>
      <w:r>
        <w:t>;</w:t>
      </w:r>
      <w:r w:rsidRPr="00607BE1">
        <w:t xml:space="preserve"> Peloza, 2006)</w:t>
      </w:r>
      <w:r w:rsidR="00FC2821">
        <w:t xml:space="preserve"> for higher risks involved.</w:t>
      </w:r>
    </w:p>
    <w:p w14:paraId="296463A3" w14:textId="77777777" w:rsidR="00CC20F2" w:rsidRPr="00CC20F2" w:rsidRDefault="00CC20F2" w:rsidP="00CC20F2"/>
    <w:p w14:paraId="16DE8E55" w14:textId="77777777" w:rsidR="00397D8B" w:rsidRDefault="00397D8B" w:rsidP="00397D8B">
      <w:pPr>
        <w:pStyle w:val="Heading2"/>
      </w:pPr>
      <w:bookmarkStart w:id="35" w:name="_Toc113806121"/>
      <w:r>
        <w:t>Conceptual Frameworks</w:t>
      </w:r>
      <w:bookmarkEnd w:id="35"/>
    </w:p>
    <w:p w14:paraId="43A863AF" w14:textId="77777777" w:rsidR="00397D8B" w:rsidRDefault="00397D8B" w:rsidP="00397D8B"/>
    <w:p w14:paraId="6A1D02DD" w14:textId="4C2F0A3B" w:rsidR="00397D8B" w:rsidRDefault="00397D8B" w:rsidP="00397D8B">
      <w:r>
        <w:t>Conceptual frameworks expanded on the classical theoretical foundations in providing a contextual understanding of this phenomenon. Richardson et al. (1999) proposes a model to explain the capital market impacts of CSR, shown in Figure 1. In addition, Reddy and Gordon (2010) present a conceptual framework to explain the causality of corporate environmental efforts with firm value, shown in Figure 2.</w:t>
      </w:r>
    </w:p>
    <w:p w14:paraId="7603CEBE" w14:textId="77777777" w:rsidR="00397D8B" w:rsidRDefault="00397D8B" w:rsidP="00397D8B"/>
    <w:p w14:paraId="457B697E" w14:textId="77777777" w:rsidR="00397D8B" w:rsidRDefault="00397D8B" w:rsidP="00397D8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DAF4F02" w14:textId="77777777" w:rsidR="00397D8B" w:rsidRDefault="00397D8B" w:rsidP="00397D8B"/>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lastRenderedPageBreak/>
        <w:drawing>
          <wp:inline distT="0" distB="0" distL="0" distR="0" wp14:anchorId="7F7CEE00" wp14:editId="76C36471">
            <wp:extent cx="3600000" cy="2349034"/>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3"/>
                    <a:stretch>
                      <a:fillRect/>
                    </a:stretch>
                  </pic:blipFill>
                  <pic:spPr>
                    <a:xfrm>
                      <a:off x="0" y="0"/>
                      <a:ext cx="3600000" cy="2349034"/>
                    </a:xfrm>
                    <a:prstGeom prst="rect">
                      <a:avLst/>
                    </a:prstGeom>
                  </pic:spPr>
                </pic:pic>
              </a:graphicData>
            </a:graphic>
          </wp:inline>
        </w:drawing>
      </w:r>
    </w:p>
    <w:p w14:paraId="28F228F6" w14:textId="7055AF89" w:rsidR="00397D8B" w:rsidRDefault="00397D8B" w:rsidP="00397D8B">
      <w:pPr>
        <w:pStyle w:val="Caption"/>
      </w:pPr>
      <w:bookmarkStart w:id="36" w:name="_Toc113789628"/>
      <w:r w:rsidRPr="00397D8B">
        <w:t xml:space="preserve">Figure </w:t>
      </w:r>
      <w:fldSimple w:instr=" SEQ Figure \* ARABIC ">
        <w:r w:rsidR="00742778">
          <w:rPr>
            <w:noProof/>
          </w:rPr>
          <w:t>7</w:t>
        </w:r>
      </w:fldSimple>
      <w:r w:rsidRPr="00397D8B">
        <w:t>: Conceptual Model Linking Corporate Environmental Management and Performance with Firm Value (Reddy and Gordon,</w:t>
      </w:r>
      <w:r w:rsidR="006C5080">
        <w:t xml:space="preserve"> </w:t>
      </w:r>
      <w:r w:rsidRPr="00397D8B">
        <w:t>2010)</w:t>
      </w:r>
      <w:bookmarkEnd w:id="36"/>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423D8229">
            <wp:extent cx="3600000" cy="4282828"/>
            <wp:effectExtent l="0" t="0" r="635"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stretch>
                      <a:fillRect/>
                    </a:stretch>
                  </pic:blipFill>
                  <pic:spPr>
                    <a:xfrm>
                      <a:off x="0" y="0"/>
                      <a:ext cx="3600000" cy="4282828"/>
                    </a:xfrm>
                    <a:prstGeom prst="rect">
                      <a:avLst/>
                    </a:prstGeom>
                  </pic:spPr>
                </pic:pic>
              </a:graphicData>
            </a:graphic>
          </wp:inline>
        </w:drawing>
      </w:r>
    </w:p>
    <w:p w14:paraId="21FF5730" w14:textId="3466EE90" w:rsidR="00397D8B" w:rsidRPr="00397D8B" w:rsidRDefault="00397D8B" w:rsidP="00397D8B">
      <w:pPr>
        <w:pStyle w:val="Caption"/>
      </w:pPr>
      <w:bookmarkStart w:id="37" w:name="_Toc113789629"/>
      <w:r w:rsidRPr="00397D8B">
        <w:t xml:space="preserve">Figure </w:t>
      </w:r>
      <w:fldSimple w:instr=" SEQ Figure \* ARABIC ">
        <w:r w:rsidR="00742778">
          <w:rPr>
            <w:noProof/>
          </w:rPr>
          <w:t>8</w:t>
        </w:r>
      </w:fldSimple>
      <w:r w:rsidRPr="00397D8B">
        <w:t>: A model of the capital market impacts of corporate social responsibility (Richardson et al., 1999)</w:t>
      </w:r>
      <w:bookmarkEnd w:id="37"/>
    </w:p>
    <w:p w14:paraId="4C5B960A" w14:textId="77777777" w:rsidR="00397D8B" w:rsidRDefault="00397D8B" w:rsidP="00397D8B">
      <w:pPr>
        <w:jc w:val="center"/>
      </w:pPr>
    </w:p>
    <w:p w14:paraId="7B448558" w14:textId="4804A9B4" w:rsidR="00486A79" w:rsidRDefault="00486A79" w:rsidP="00486A79"/>
    <w:p w14:paraId="2588FF26" w14:textId="261A8B2B" w:rsidR="00397D8B" w:rsidRDefault="00B02A1E" w:rsidP="00397D8B">
      <w:pPr>
        <w:pStyle w:val="Heading2"/>
      </w:pPr>
      <w:bookmarkStart w:id="38" w:name="_Toc113806122"/>
      <w:r>
        <w:lastRenderedPageBreak/>
        <w:t>Factors Considered in Prior Research</w:t>
      </w:r>
      <w:bookmarkEnd w:id="38"/>
    </w:p>
    <w:p w14:paraId="6359B70D" w14:textId="77777777" w:rsidR="00A45D2B" w:rsidRPr="00A45D2B" w:rsidRDefault="00A45D2B" w:rsidP="00A45D2B"/>
    <w:p w14:paraId="205817D2" w14:textId="62710D5D" w:rsidR="00A45D2B" w:rsidRDefault="00A45D2B" w:rsidP="00A45D2B">
      <w:pPr>
        <w:pStyle w:val="Heading3"/>
      </w:pPr>
      <w:bookmarkStart w:id="39" w:name="_Toc113806123"/>
      <w:r>
        <w:t>Dependent Variables</w:t>
      </w:r>
      <w:bookmarkEnd w:id="39"/>
    </w:p>
    <w:p w14:paraId="4CB19917" w14:textId="77100DBB" w:rsidR="00397D8B" w:rsidRDefault="00397D8B" w:rsidP="00397D8B">
      <w:r>
        <w:t xml:space="preserve">The factors used to determine sustainability disclosures and performance were varied. Loh et al. (2017) used a measurement scheme developed by the ASEAN CSR Network, which proposes 23 criteria in the scheme over governance, economic, environmental, and social indicators. Wahyuningrum et al. (2021) used an abridged form of content analysis to assign scores based on the number of disclosures – the number of sentences number of pages. Kasbun et al. (2016) similarly used the number of sentences to indicate the quantity of activity reported. Aggrawal (2013-a) used scores extracted from private databases provided by Bloomberg and Thomson Reuters Eikon. </w:t>
      </w:r>
      <w:r w:rsidR="00486A79">
        <w:t xml:space="preserve">On the other hand, Meng et al. (2013) assigned values on a scale from 0 to 3 to specify the extent to which the information was present in the reports. Dangelico and </w:t>
      </w:r>
      <w:r w:rsidR="00486A79" w:rsidRPr="00486A79">
        <w:t xml:space="preserve">Pontrandolfo </w:t>
      </w:r>
      <w:r w:rsidR="00486A79">
        <w:t>(2010) manually processed reports in the sample and used binary variables (1, 0) to indicate the presence or absence of environmental information in the sustainability reports.</w:t>
      </w:r>
      <w:r w:rsidR="00B57009">
        <w:t xml:space="preserve"> Henry (2006) went one step further by </w:t>
      </w:r>
      <w:r w:rsidR="00B57009" w:rsidRPr="00B57009">
        <w:t>employed keyword counts (accomplished with Diction 5.0 software) and thesaurus-based keyword analysis</w:t>
      </w:r>
      <w:r w:rsidR="00B57009">
        <w:t>.</w:t>
      </w:r>
      <w:r w:rsidR="00486A79">
        <w:t xml:space="preserve"> </w:t>
      </w:r>
      <w:r w:rsidR="001210A8" w:rsidRPr="001210A8">
        <w:t xml:space="preserve">Cöster </w:t>
      </w:r>
      <w:r w:rsidR="001210A8">
        <w:t>et al. (2020) considered a sustainability reporting maturity grid to assess the quality of sustainability reports.</w:t>
      </w:r>
      <w:r w:rsidR="001F5434">
        <w:t xml:space="preserve"> </w:t>
      </w:r>
      <w:r>
        <w:t xml:space="preserve">The majority of these metrics can often be superficial and do not </w:t>
      </w:r>
      <w:r w:rsidR="00A45D2B">
        <w:t>extensively</w:t>
      </w:r>
      <w:r>
        <w:t xml:space="preserve"> examine the text of such CSR disclosures</w:t>
      </w:r>
      <w:r w:rsidR="00A45D2B">
        <w:t>.</w:t>
      </w:r>
    </w:p>
    <w:p w14:paraId="3DEBBD43" w14:textId="17C896C6" w:rsidR="00D13C8D" w:rsidRDefault="00D13C8D" w:rsidP="00397D8B"/>
    <w:p w14:paraId="054CDED5" w14:textId="3A0EB978" w:rsidR="00D13C8D" w:rsidRDefault="00D13C8D" w:rsidP="00397D8B">
      <w:r>
        <w:t>ESG ratings were also one of the options considered. In that ratings were downloaded from providers such as Bloomberg, or Thomson Reuters, and used as dependent variables.</w:t>
      </w:r>
      <w:r w:rsidR="00CB0BA2">
        <w:t xml:space="preserve"> A</w:t>
      </w:r>
      <w:r w:rsidR="00CB0BA2" w:rsidRPr="00CB0BA2">
        <w:t xml:space="preserve">gencies actively differentiate themselves focusing on </w:t>
      </w:r>
      <w:r w:rsidR="00CB0BA2">
        <w:t>specific</w:t>
      </w:r>
      <w:r w:rsidR="00CB0BA2" w:rsidRPr="00CB0BA2">
        <w:t xml:space="preserve"> dimensions of the ESG paradigm </w:t>
      </w:r>
      <w:r w:rsidR="00EA1C4D" w:rsidRPr="00CB0BA2">
        <w:t>to</w:t>
      </w:r>
      <w:r w:rsidR="00CB0BA2" w:rsidRPr="00CB0BA2">
        <w:t xml:space="preserve"> establish their own identity in the market. (Boulash et al., 2013).</w:t>
      </w:r>
      <w:r w:rsidR="00EA1C4D">
        <w:t xml:space="preserve"> Companies had also responded to these assessments differently, depending on the diversity of their external and internal environments (</w:t>
      </w:r>
      <w:r w:rsidR="00EA1C4D" w:rsidRPr="00EA1C4D">
        <w:t xml:space="preserve">Delmas </w:t>
      </w:r>
      <w:r w:rsidR="00EA1C4D">
        <w:t>and</w:t>
      </w:r>
      <w:r w:rsidR="00EA1C4D" w:rsidRPr="00EA1C4D">
        <w:t xml:space="preserve"> Toffel, 2008</w:t>
      </w:r>
      <w:r w:rsidR="00EA1C4D">
        <w:t>;</w:t>
      </w:r>
      <w:r w:rsidR="00EA1C4D" w:rsidRPr="00EA1C4D">
        <w:t xml:space="preserve"> Philippe </w:t>
      </w:r>
      <w:r w:rsidR="00EA1C4D">
        <w:t>and</w:t>
      </w:r>
      <w:r w:rsidR="00EA1C4D" w:rsidRPr="00EA1C4D">
        <w:t xml:space="preserve"> Durand, 2011</w:t>
      </w:r>
      <w:r w:rsidR="00EA1C4D">
        <w:t xml:space="preserve">). </w:t>
      </w:r>
      <w:r w:rsidR="00CB0BA2">
        <w:t>An issue with these, is in comparability</w:t>
      </w:r>
      <w:r w:rsidR="00EA1C4D">
        <w:t xml:space="preserve"> and objectivity </w:t>
      </w:r>
      <w:r w:rsidR="00CB0BA2">
        <w:t xml:space="preserve"> – since different agencies use different methodologies.</w:t>
      </w:r>
    </w:p>
    <w:p w14:paraId="703610A3" w14:textId="2B79E700" w:rsidR="00A45D2B" w:rsidRDefault="00A45D2B" w:rsidP="00397D8B"/>
    <w:p w14:paraId="7E9FA7B0" w14:textId="2BF1DA6B" w:rsidR="00A45D2B" w:rsidRDefault="001F5434" w:rsidP="00397D8B">
      <w:r>
        <w:lastRenderedPageBreak/>
        <w:t xml:space="preserve">As new NLP techniques emerged, subsequent studies considered more extensive textual analyses. </w:t>
      </w:r>
      <w:r w:rsidR="00A45D2B">
        <w:t xml:space="preserve">In </w:t>
      </w:r>
      <w:r w:rsidR="00A45D2B" w:rsidRPr="00A45D2B">
        <w:rPr>
          <w:rFonts w:hint="eastAsia"/>
        </w:rPr>
        <w:t>Pucheta</w:t>
      </w:r>
      <w:r w:rsidR="00A45D2B" w:rsidRPr="00A45D2B">
        <w:rPr>
          <w:rFonts w:hint="eastAsia"/>
        </w:rPr>
        <w:t>‐</w:t>
      </w:r>
      <w:r w:rsidR="00A45D2B" w:rsidRPr="00A45D2B">
        <w:rPr>
          <w:rFonts w:hint="eastAsia"/>
        </w:rPr>
        <w:t>Mart</w:t>
      </w:r>
      <w:r w:rsidR="00A45D2B" w:rsidRPr="00A45D2B">
        <w:rPr>
          <w:rFonts w:hint="eastAsia"/>
        </w:rPr>
        <w:t>í</w:t>
      </w:r>
      <w:r w:rsidR="00A45D2B" w:rsidRPr="00A45D2B">
        <w:rPr>
          <w:rFonts w:hint="eastAsia"/>
        </w:rPr>
        <w:t>nez</w:t>
      </w:r>
      <w:r w:rsidR="00A45D2B">
        <w:t xml:space="preserve"> et al. (2018), </w:t>
      </w:r>
      <w:r w:rsidR="00E625AA" w:rsidRPr="00E625AA">
        <w:t xml:space="preserve">categorical principal component analysis (CATPCA) and partial triadic analysis (PTA) </w:t>
      </w:r>
      <w:r w:rsidR="00E625AA">
        <w:t xml:space="preserve">were used </w:t>
      </w:r>
      <w:r w:rsidR="00E625AA" w:rsidRPr="00E625AA">
        <w:t>to obtain a numerical value for each of the environmental issues of companies that were included in the research.</w:t>
      </w:r>
      <w:r w:rsidR="00E625AA">
        <w:t xml:space="preserve"> This method makes an attempt at extensively examining the content of the sustainability reports, and similar methods shall be adopted for this study.</w:t>
      </w:r>
    </w:p>
    <w:p w14:paraId="78551455" w14:textId="72F9FC6F" w:rsidR="00DF2C55" w:rsidRDefault="00DF2C55" w:rsidP="00397D8B"/>
    <w:p w14:paraId="7B561C64" w14:textId="66E60D69" w:rsidR="00DF2C55" w:rsidRDefault="00DF2C55" w:rsidP="00397D8B">
      <w:r>
        <w:t>Increasingly, studies have used use the entire report’s text (‘corpus’) as dependent variables. The mechanism of how this works is explained in the methodology section subsequently</w:t>
      </w:r>
      <w:r w:rsidR="00EF6C1B">
        <w:t>.</w:t>
      </w:r>
      <w:r w:rsidR="00410139">
        <w:t xml:space="preserve"> Brown and Tucker (2011) </w:t>
      </w:r>
      <w:r w:rsidR="00E5107D">
        <w:t xml:space="preserve">and Qiu et al. (2014) </w:t>
      </w:r>
      <w:r w:rsidR="00410139">
        <w:t>had also used tf-idf term weighting in their analysis.</w:t>
      </w:r>
    </w:p>
    <w:p w14:paraId="69418CAF" w14:textId="12BF17CD" w:rsidR="00EF6C1B" w:rsidRDefault="00EF6C1B" w:rsidP="00397D8B"/>
    <w:p w14:paraId="31DACE10" w14:textId="37E56993" w:rsidR="00D13C8D" w:rsidRDefault="00EF6C1B" w:rsidP="00397D8B">
      <w:r>
        <w:t xml:space="preserve">Some studies </w:t>
      </w:r>
      <w:r w:rsidR="00464A9A">
        <w:t>supplement their analysis by using outputs of</w:t>
      </w:r>
      <w:r>
        <w:t xml:space="preserve"> NLP analysis of </w:t>
      </w:r>
      <w:r w:rsidR="00464A9A">
        <w:t>the corpus</w:t>
      </w:r>
      <w:r>
        <w:t xml:space="preserve"> as dependent variables.</w:t>
      </w:r>
      <w:r w:rsidR="00464A9A">
        <w:t xml:space="preserve"> For example, this could include the readability score or sentiment scores.</w:t>
      </w:r>
      <w:r>
        <w:t xml:space="preserve"> Balakrishnan et al. (2010) used </w:t>
      </w:r>
      <w:r w:rsidRPr="00DF2C55">
        <w:t>term frequency-inverse document frequency</w:t>
      </w:r>
      <w:r>
        <w:t xml:space="preserve"> (tf-idf) weight, the Gunning Fog index for readability, and sentiment as explanatory variables for firm performance. </w:t>
      </w:r>
      <w:r w:rsidRPr="00EF6C1B">
        <w:t>Engelberg (2008) used typed-dependency parsing (using the Stanford parser), enhanced with tone analysis</w:t>
      </w:r>
      <w:r>
        <w:t>.</w:t>
      </w:r>
    </w:p>
    <w:p w14:paraId="75A5578D" w14:textId="631CA678" w:rsidR="00A45D2B" w:rsidRDefault="00A45D2B" w:rsidP="00397D8B"/>
    <w:p w14:paraId="544AEF21" w14:textId="42E377DB" w:rsidR="00397D8B" w:rsidRDefault="00A45D2B" w:rsidP="00A45D2B">
      <w:pPr>
        <w:pStyle w:val="Heading3"/>
      </w:pPr>
      <w:bookmarkStart w:id="40" w:name="_Toc113806124"/>
      <w:r>
        <w:t>Independent Variables</w:t>
      </w:r>
      <w:bookmarkEnd w:id="40"/>
    </w:p>
    <w:p w14:paraId="59C4B4C8" w14:textId="515A3ACF" w:rsidR="00397D8B" w:rsidRDefault="00397D8B" w:rsidP="00397D8B">
      <w:r>
        <w:t>Financial metrics used were based on generally-available information. For example, figures were retrieved from audited financial reports of the same year. Standard metrics used to assess performance were the Return on Assets (ROA), Return on Equity (ROE), Profit before Tax (PBT), employed in several studies (Aggrawal, 2013-a; Ching et al., 2017; Kasbun et al., 2016). Jones et al., 2007 sought to examine the effect on abnormal stock returns.</w:t>
      </w:r>
      <w:r w:rsidR="00ED4D2B">
        <w:t xml:space="preserve"> </w:t>
      </w:r>
      <w:r w:rsidR="004D0DD3">
        <w:t xml:space="preserve">Rodgers et al. (2013) and </w:t>
      </w:r>
      <w:r w:rsidR="00ED4D2B">
        <w:t>Rodgers et al. (2017) used the Zmijewski score (Zmijewski, 1984) as a proxy for financial viability. The Zmijewski score is modelled using the Return on Assets, Financial Leverage, and Liquidity. The study found the coefficients had positive signs and the relationships were statistically significant.</w:t>
      </w:r>
    </w:p>
    <w:p w14:paraId="0D8EEB1F" w14:textId="3EDEC886" w:rsidR="004D0DD3" w:rsidRDefault="004D0DD3" w:rsidP="00397D8B"/>
    <w:p w14:paraId="03BF825E" w14:textId="09FC81EB" w:rsidR="004D0DD3" w:rsidRDefault="004D0DD3" w:rsidP="00397D8B">
      <w:r>
        <w:lastRenderedPageBreak/>
        <w:t xml:space="preserve">Although market valuation is not within the scope of discussion of this study, it is worth noting that Tobin’s Q is the metric choice in Rodgers et al. (2013) for market valuation. Tobin’s Q is the </w:t>
      </w:r>
      <w:r w:rsidRPr="004D0DD3">
        <w:t xml:space="preserve">market’s valuation of a firm relative to its assets-in-place </w:t>
      </w:r>
      <w:r>
        <w:t xml:space="preserve">– </w:t>
      </w:r>
      <w:r w:rsidRPr="004D0DD3">
        <w:t>sum of market value of equity and the book value of debt, scaled by the book value of assets.</w:t>
      </w:r>
      <w:r>
        <w:t xml:space="preserve"> It provides a size-adjusted valuation of the company – and can be adopted for this purpose.</w:t>
      </w:r>
    </w:p>
    <w:p w14:paraId="75A349C4" w14:textId="1451D3D9" w:rsidR="00A45D2B" w:rsidRDefault="00A45D2B" w:rsidP="00397D8B"/>
    <w:p w14:paraId="7E96006E" w14:textId="1A23DF72" w:rsidR="00A45D2B" w:rsidRDefault="00A45D2B" w:rsidP="00A45D2B">
      <w:pPr>
        <w:pStyle w:val="Heading2"/>
      </w:pPr>
      <w:bookmarkStart w:id="41" w:name="_Toc113806125"/>
      <w:r>
        <w:t>Natural Language Processing</w:t>
      </w:r>
      <w:r w:rsidR="00AA6AD0">
        <w:t xml:space="preserve"> (NLP)</w:t>
      </w:r>
      <w:r>
        <w:t xml:space="preserve"> in Accounting Research</w:t>
      </w:r>
      <w:bookmarkEnd w:id="41"/>
    </w:p>
    <w:p w14:paraId="2238F830" w14:textId="33115184" w:rsidR="00A45D2B" w:rsidRDefault="00A45D2B" w:rsidP="00397D8B"/>
    <w:p w14:paraId="244B3BC0" w14:textId="6792D2F6" w:rsidR="003059D6" w:rsidRDefault="003059D6" w:rsidP="00397D8B">
      <w:r>
        <w:t xml:space="preserve">NLP can be defined as a </w:t>
      </w:r>
      <w:r w:rsidRPr="003059D6">
        <w:t>theoretically motivated range of computational techniques for analysing and representing naturally occurring texts at one or more levels of linguistic analysis for the purpose of achieving human-like language processing for a range of tasks or applications</w:t>
      </w:r>
      <w:r>
        <w:t xml:space="preserve"> (Liddy, 2001)</w:t>
      </w:r>
      <w:r w:rsidRPr="003059D6">
        <w:t>.</w:t>
      </w:r>
      <w:r w:rsidR="00C760B0">
        <w:t xml:space="preserve"> NLP-driven research emerged in the late-1990s (Fisher et al., 2016).</w:t>
      </w:r>
    </w:p>
    <w:p w14:paraId="30BC9F3C" w14:textId="77777777" w:rsidR="003059D6" w:rsidRDefault="003059D6" w:rsidP="00397D8B"/>
    <w:p w14:paraId="529A7071" w14:textId="1DAC1B5A" w:rsidR="00F96695" w:rsidRDefault="00C760B0" w:rsidP="00397D8B">
      <w:r>
        <w:t>The researchers’ original focus was on manual text analysis, but the computerised options allowed for more machine learning (ML)-centric applications (Fisher et. al., 2016).</w:t>
      </w:r>
      <w:r w:rsidR="00AA6AD0">
        <w:t xml:space="preserve"> Back et al. (2001) implied previously that prospective research could provide clarity on how NLP-based tools could steer stakeholders to consider previously overlooked qualitative (i.e., textual) data in tandem with traditionally analysed quantitative (i.e., financial) data. </w:t>
      </w:r>
      <w:r>
        <w:t xml:space="preserve"> </w:t>
      </w:r>
      <w:r w:rsidR="009722F2">
        <w:t xml:space="preserve">The use of </w:t>
      </w:r>
      <w:r w:rsidR="00BF4B82">
        <w:t>NLP techniques</w:t>
      </w:r>
      <w:r w:rsidR="009722F2">
        <w:t xml:space="preserve"> has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w:t>
      </w:r>
      <w:r w:rsidR="00116978">
        <w:t xml:space="preserve"> </w:t>
      </w:r>
      <w:r>
        <w:t>The trend toward analysing larger data sets has been enabled b</w:t>
      </w:r>
      <w:r w:rsidRPr="00C760B0">
        <w:t>y the efficiency and enhanced processing capabilities associated with NLP applications combined with ML and</w:t>
      </w:r>
      <w:r>
        <w:t xml:space="preserve"> artificial intelligence</w:t>
      </w:r>
      <w:r w:rsidRPr="00C760B0">
        <w:t xml:space="preserve"> (O’ Leary, 2013)</w:t>
      </w:r>
      <w:r>
        <w:t>.</w:t>
      </w:r>
    </w:p>
    <w:p w14:paraId="4F13067A" w14:textId="75AA9A21" w:rsidR="00F96695" w:rsidRDefault="00F96695" w:rsidP="00397D8B"/>
    <w:p w14:paraId="6D73F18F" w14:textId="77493965" w:rsidR="005A554F" w:rsidRDefault="00804164" w:rsidP="00397D8B">
      <w:r>
        <w:t>Earlier works</w:t>
      </w:r>
      <w:r w:rsidR="00F96695">
        <w:t xml:space="preserve"> </w:t>
      </w:r>
      <w:r>
        <w:t>had only taken</w:t>
      </w:r>
      <w:r w:rsidR="00F96695">
        <w:t xml:space="preserve"> a limited number of reports into</w:t>
      </w:r>
      <w:r>
        <w:t xml:space="preserve"> consideration because of the lack of processing power (</w:t>
      </w:r>
      <w:r w:rsidRPr="00804164">
        <w:t>Székely</w:t>
      </w:r>
      <w:r>
        <w:t xml:space="preserve"> and Vom, 2017). Some studies used qualitative content analysis techniques to provide an overview of various organisation’s reporting practices (Feundlieb et al., 2013).</w:t>
      </w:r>
      <w:r w:rsidR="00AA6AD0">
        <w:t xml:space="preserve"> </w:t>
      </w:r>
      <w:r w:rsidR="005A554F" w:rsidRPr="005A554F">
        <w:t xml:space="preserve">Manual text analysis </w:t>
      </w:r>
      <w:r w:rsidR="005A554F" w:rsidRPr="005A554F">
        <w:lastRenderedPageBreak/>
        <w:t xml:space="preserve">established that financial statement disclosures, including </w:t>
      </w:r>
      <w:r w:rsidR="002822AD">
        <w:t>management discussion and analysis</w:t>
      </w:r>
      <w:r w:rsidR="005A554F" w:rsidRPr="005A554F">
        <w:t>, c</w:t>
      </w:r>
      <w:r w:rsidR="005A554F">
        <w:t>ould</w:t>
      </w:r>
      <w:r w:rsidR="005A554F" w:rsidRPr="005A554F">
        <w:t xml:space="preserve"> be predictive of future firm performance (Singhvi, 1968; Ingram &amp; Frazier, 1980, Kothari et al., 2009, Lawrence, 2011).</w:t>
      </w:r>
    </w:p>
    <w:p w14:paraId="298E5975" w14:textId="77777777" w:rsidR="005A554F" w:rsidRDefault="005A554F" w:rsidP="00397D8B"/>
    <w:p w14:paraId="2CE7EBAF" w14:textId="745FA79C" w:rsidR="00F96695" w:rsidRDefault="00804164" w:rsidP="00397D8B">
      <w:r>
        <w:t xml:space="preserve">Whereas increasingly, there were </w:t>
      </w:r>
      <w:r w:rsidR="00BF4B82">
        <w:t>other studies that examined the content of sustainability reports in a more quantitative way through text-mining techniques, a subset of NLP, focusing on the frequency of keywords that are related to sustainability practices (Modapothala, 2009; Modapothala, 2010; Liew, 2014).</w:t>
      </w:r>
      <w:r w:rsidR="002822AD">
        <w:t xml:space="preserve"> </w:t>
      </w:r>
      <w:r w:rsidR="002822AD" w:rsidRPr="002822AD">
        <w:t>Text mining studies reaffirmed the association between disclosures and future firm performance (Merkley, 2011, 2014; Campbell et al., 2014)</w:t>
      </w:r>
      <w:r w:rsidR="002822AD">
        <w:t>.</w:t>
      </w:r>
    </w:p>
    <w:p w14:paraId="14722149" w14:textId="77777777" w:rsidR="00F96695" w:rsidRDefault="00F96695" w:rsidP="00397D8B"/>
    <w:p w14:paraId="303ECD02" w14:textId="702279E1" w:rsidR="00685387" w:rsidRDefault="00F96695" w:rsidP="00397D8B">
      <w:r>
        <w:t>Despite the momentum, p</w:t>
      </w:r>
      <w:r w:rsidR="00116978">
        <w:t>rogress in developing NLP techniques in finance have proven to be challenging because of specialised language used (Luccioni et al. 2020). For example, ‘short’ and ‘bear’ do not have the same meanings in finance as in general society</w:t>
      </w:r>
      <w:r w:rsidR="002036F9">
        <w:t xml:space="preserve">. Most NLP dictionaries are built for generic text. </w:t>
      </w:r>
      <w:r w:rsidR="00685387">
        <w:t>For example, t</w:t>
      </w:r>
      <w:r w:rsidR="002036F9">
        <w:t xml:space="preserve">he Natural Language Toolkit designed by Bird et al., 2009 </w:t>
      </w:r>
      <w:r w:rsidR="00685387">
        <w:t xml:space="preserve">features the </w:t>
      </w:r>
      <w:r w:rsidR="00685387" w:rsidRPr="00685387">
        <w:t>Valence Aware Dictionary and sEntiment Reasoner</w:t>
      </w:r>
      <w:r w:rsidR="00685387">
        <w:t xml:space="preserve"> (VADER), which is a pre-trained dictionary for social media text (Hutto et al., 2014). Nonetheless, the developments thus far have allowed for a more extensive and objective analysis of textual data, and this will be considered in this analysis.</w:t>
      </w:r>
    </w:p>
    <w:p w14:paraId="7B390D5D" w14:textId="56C28FA9" w:rsidR="00685387" w:rsidRDefault="00685387" w:rsidP="00397D8B"/>
    <w:p w14:paraId="18EB5DC3" w14:textId="1490E19D" w:rsidR="00C41E81" w:rsidRDefault="00685387" w:rsidP="00C41E81">
      <w:r>
        <w:t xml:space="preserve">In accounting research, there have been a plethora of methods </w:t>
      </w:r>
      <w:r w:rsidR="00C41E81">
        <w:t>employed to aid with analysis of textual information. This include, but are not limited to, the following:</w:t>
      </w:r>
    </w:p>
    <w:p w14:paraId="3B9816E2" w14:textId="40B6AEEE" w:rsidR="00C41E81" w:rsidRDefault="00C41E81" w:rsidP="00C41E81"/>
    <w:p w14:paraId="3B61B821" w14:textId="25781344" w:rsidR="00C41E81" w:rsidRDefault="00C41E81" w:rsidP="00C41E81">
      <w:pPr>
        <w:pStyle w:val="ListParagraph"/>
        <w:numPr>
          <w:ilvl w:val="0"/>
          <w:numId w:val="4"/>
        </w:numPr>
      </w:pPr>
      <w:r>
        <w:t>The question-answering technique in Lan et al. (2019) identifies the presence of specific information, i.e. the answers, based on set of prescribed questions.</w:t>
      </w:r>
      <w:r w:rsidR="00D544DC">
        <w:t xml:space="preserve"> Luccioni et al. (2020) employs this technique to analyse financial reports and identify climate-relevant sections.</w:t>
      </w:r>
    </w:p>
    <w:p w14:paraId="15337D78" w14:textId="77777777" w:rsidR="00C41E81" w:rsidRDefault="00C41E81" w:rsidP="00C41E81"/>
    <w:p w14:paraId="357143FD" w14:textId="1279D317" w:rsidR="00C41E81" w:rsidRDefault="00C41E81" w:rsidP="00C41E81">
      <w:pPr>
        <w:pStyle w:val="ListParagraph"/>
        <w:numPr>
          <w:ilvl w:val="0"/>
          <w:numId w:val="4"/>
        </w:numPr>
      </w:pPr>
      <w:r>
        <w:t xml:space="preserve">Machine translation is used in Ott et al. (2018) to allow for the comparison of texts from companies domiciled in different locations. The translation of texts </w:t>
      </w:r>
      <w:r>
        <w:lastRenderedPageBreak/>
        <w:t xml:space="preserve">to a single language (e.g. French to English, German to English) allows for the comparison of texts across more </w:t>
      </w:r>
      <w:r w:rsidR="004E2690">
        <w:t>jurisdictions</w:t>
      </w:r>
      <w:r>
        <w:t>.</w:t>
      </w:r>
    </w:p>
    <w:p w14:paraId="650D4F75" w14:textId="77777777" w:rsidR="00C41E81" w:rsidRDefault="00C41E81" w:rsidP="00C41E81">
      <w:pPr>
        <w:pStyle w:val="ListParagraph"/>
      </w:pPr>
    </w:p>
    <w:p w14:paraId="1644B62B" w14:textId="66A3CD5B" w:rsidR="00C41E81" w:rsidRDefault="00C41E81" w:rsidP="00C41E81">
      <w:pPr>
        <w:pStyle w:val="ListParagraph"/>
        <w:numPr>
          <w:ilvl w:val="0"/>
          <w:numId w:val="4"/>
        </w:numPr>
      </w:pPr>
      <w:r>
        <w:t>Natural langua</w:t>
      </w:r>
      <w:r w:rsidR="004E2690">
        <w:t xml:space="preserve">ge inference used in Conneau et al. (2017) </w:t>
      </w:r>
      <w:r w:rsidR="004E2690" w:rsidRPr="004E2690">
        <w:t xml:space="preserve">determining whether a “hypothesis” is </w:t>
      </w:r>
      <w:r w:rsidR="004E2690">
        <w:t>an entailment</w:t>
      </w:r>
      <w:r w:rsidR="004E2690" w:rsidRPr="004E2690">
        <w:t xml:space="preserve">, </w:t>
      </w:r>
      <w:r w:rsidR="004E2690">
        <w:t xml:space="preserve">a </w:t>
      </w:r>
      <w:r w:rsidR="004E2690" w:rsidRPr="004E2690">
        <w:t xml:space="preserve">contradiction, or </w:t>
      </w:r>
      <w:r w:rsidR="004E2690">
        <w:t xml:space="preserve">if it is </w:t>
      </w:r>
      <w:r w:rsidR="004E2690" w:rsidRPr="004E2690">
        <w:t>undetermined given a “premise”</w:t>
      </w:r>
      <w:r w:rsidR="004E2690">
        <w:t>. This can aid with association.</w:t>
      </w:r>
    </w:p>
    <w:p w14:paraId="5A818658" w14:textId="77777777" w:rsidR="004E2690" w:rsidRDefault="004E2690" w:rsidP="004E2690">
      <w:pPr>
        <w:pStyle w:val="ListParagraph"/>
      </w:pPr>
    </w:p>
    <w:p w14:paraId="3509F825" w14:textId="5077272A" w:rsidR="004E2690" w:rsidRDefault="004E2690" w:rsidP="00C41E81">
      <w:pPr>
        <w:pStyle w:val="ListParagraph"/>
        <w:numPr>
          <w:ilvl w:val="0"/>
          <w:numId w:val="4"/>
        </w:numPr>
      </w:pPr>
      <w:r>
        <w:t xml:space="preserve">A </w:t>
      </w:r>
      <w:r w:rsidRPr="004E2690">
        <w:t>Bidirectional Encoder Representations from Transformers</w:t>
      </w:r>
      <w:r>
        <w:t xml:space="preserve"> (BERT) for domain-specific applications was used in Devlin et al. (2018) for language understanding.</w:t>
      </w:r>
    </w:p>
    <w:p w14:paraId="06D8C0E3" w14:textId="77777777" w:rsidR="004E2690" w:rsidRDefault="004E2690" w:rsidP="004E2690">
      <w:pPr>
        <w:pStyle w:val="ListParagraph"/>
      </w:pPr>
    </w:p>
    <w:p w14:paraId="7367A0C0" w14:textId="77777777" w:rsidR="00E209D5" w:rsidRDefault="004E2690" w:rsidP="00C41E81">
      <w:pPr>
        <w:pStyle w:val="ListParagraph"/>
        <w:numPr>
          <w:ilvl w:val="0"/>
          <w:numId w:val="4"/>
        </w:numPr>
      </w:pPr>
      <w:r>
        <w:t xml:space="preserve">Sentiment Analysis was used in Mohammad (2016), and is a common technique for detecting affectual states, emotion, and valence from text. </w:t>
      </w:r>
      <w:r w:rsidR="000A712A">
        <w:t xml:space="preserve">This was also performed in an exploratory manner in Kang and Kim (2022). </w:t>
      </w:r>
    </w:p>
    <w:p w14:paraId="698EDEC2" w14:textId="77777777" w:rsidR="00E209D5" w:rsidRDefault="00E209D5" w:rsidP="00E209D5">
      <w:pPr>
        <w:pStyle w:val="ListParagraph"/>
      </w:pPr>
    </w:p>
    <w:p w14:paraId="1C54C875" w14:textId="7D3D5833" w:rsidR="00E209D5" w:rsidRDefault="000A712A" w:rsidP="00E209D5">
      <w:pPr>
        <w:pStyle w:val="ListParagraph"/>
      </w:pPr>
      <w:r>
        <w:t>It was found that the ratio of positive and negative comments did not differ significantly by company</w:t>
      </w:r>
      <w:r w:rsidR="005F0734">
        <w:t xml:space="preserve">. Companies are generally consistent in their deployment of positive and negative words over time; keeping their messaging consistent under signalling theory. </w:t>
      </w:r>
      <w:r w:rsidR="0078422F">
        <w:t>A recent study demonstrated that Indonesian companies appear to use a choice of words that contain more positive sentiments (75%) vis-à-vis negative sentiments (25%) (Harymawan et al., 2020).</w:t>
      </w:r>
    </w:p>
    <w:p w14:paraId="7B9AECD1" w14:textId="77777777" w:rsidR="00E209D5" w:rsidRDefault="00E209D5" w:rsidP="00E209D5">
      <w:pPr>
        <w:pStyle w:val="ListParagraph"/>
      </w:pPr>
    </w:p>
    <w:p w14:paraId="06265007" w14:textId="523A9CD7" w:rsidR="004E2690" w:rsidRDefault="005F0734" w:rsidP="00E209D5">
      <w:pPr>
        <w:pStyle w:val="ListParagraph"/>
      </w:pPr>
      <w:r>
        <w:t>However, when there are specific events that occur, the positive-negative ratio rate increases.</w:t>
      </w:r>
      <w:r w:rsidR="00E209D5">
        <w:t xml:space="preserve"> This is supported by the “obfuscation hypothesis”, which posits that companies will make unfavourable news more difficult to decode (Courtis, 1998; Rutherford, 2003). This may also result in more positive language being used, or the deployment of attractive imagery for window-dressing and green washing (Hrasky, 2012; Boiral, 2013).</w:t>
      </w:r>
      <w:r>
        <w:t xml:space="preserve"> This is exhibited in Figure </w:t>
      </w:r>
      <w:r w:rsidRPr="005F0734">
        <w:rPr>
          <w:highlight w:val="yellow"/>
        </w:rPr>
        <w:t>(x)</w:t>
      </w:r>
      <w:r>
        <w:t xml:space="preserve"> below.</w:t>
      </w:r>
    </w:p>
    <w:p w14:paraId="172670AA" w14:textId="77777777" w:rsidR="005F0734" w:rsidRDefault="005F0734" w:rsidP="005F0734">
      <w:pPr>
        <w:pStyle w:val="ListParagraph"/>
      </w:pPr>
    </w:p>
    <w:p w14:paraId="55F445CB" w14:textId="7BE1A290" w:rsidR="005F0734" w:rsidRDefault="005F0734" w:rsidP="005F0734">
      <w:pPr>
        <w:pStyle w:val="ListParagraph"/>
        <w:jc w:val="center"/>
      </w:pPr>
      <w:r w:rsidRPr="0022439B">
        <w:rPr>
          <w:noProof/>
        </w:rPr>
        <w:lastRenderedPageBreak/>
        <w:drawing>
          <wp:inline distT="0" distB="0" distL="0" distR="0" wp14:anchorId="6F1CA2F3" wp14:editId="3DFF07F9">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5"/>
                    <a:stretch>
                      <a:fillRect/>
                    </a:stretch>
                  </pic:blipFill>
                  <pic:spPr>
                    <a:xfrm>
                      <a:off x="0" y="0"/>
                      <a:ext cx="3600000" cy="1741768"/>
                    </a:xfrm>
                    <a:prstGeom prst="rect">
                      <a:avLst/>
                    </a:prstGeom>
                  </pic:spPr>
                </pic:pic>
              </a:graphicData>
            </a:graphic>
          </wp:inline>
        </w:drawing>
      </w:r>
    </w:p>
    <w:p w14:paraId="4F9C6218" w14:textId="10D16CE6" w:rsidR="008E5561" w:rsidRDefault="005F0734" w:rsidP="00E163CA">
      <w:pPr>
        <w:pStyle w:val="Caption"/>
        <w:ind w:left="360"/>
      </w:pPr>
      <w:bookmarkStart w:id="42" w:name="_Toc113789630"/>
      <w:r>
        <w:t xml:space="preserve">Figure </w:t>
      </w:r>
      <w:fldSimple w:instr=" SEQ Figure \* ARABIC ">
        <w:r w:rsidR="00742778">
          <w:rPr>
            <w:noProof/>
          </w:rPr>
          <w:t>9</w:t>
        </w:r>
      </w:fldSimple>
      <w:r>
        <w:t>: Rates of positive-negative comments (Kang and Kim, 2022)</w:t>
      </w:r>
      <w:bookmarkEnd w:id="42"/>
    </w:p>
    <w:p w14:paraId="00B00C88" w14:textId="77777777" w:rsidR="00C760B0" w:rsidRPr="00C760B0" w:rsidRDefault="00C760B0" w:rsidP="00C760B0"/>
    <w:p w14:paraId="4844B970" w14:textId="6847366A" w:rsidR="0057565C" w:rsidRDefault="008E5561" w:rsidP="00C41E81">
      <w:pPr>
        <w:pStyle w:val="ListParagraph"/>
        <w:numPr>
          <w:ilvl w:val="0"/>
          <w:numId w:val="4"/>
        </w:numPr>
      </w:pPr>
      <w:r>
        <w:t>A Thematic Analysis, as adopted in</w:t>
      </w:r>
      <w:r w:rsidR="0057565C">
        <w:t xml:space="preserve"> </w:t>
      </w:r>
      <w:r w:rsidR="0057565C" w:rsidRPr="0057565C">
        <w:t>Székely</w:t>
      </w:r>
      <w:r w:rsidR="0057565C">
        <w:t xml:space="preserve"> and Vom (2017) and</w:t>
      </w:r>
      <w:r>
        <w:t xml:space="preserve"> Kang and Kim (2022), which aims to summarise and identify the themes in the text based on Latent </w:t>
      </w:r>
      <w:r w:rsidR="000A712A">
        <w:t>Dirichlet Allocation (LDA)</w:t>
      </w:r>
      <w:r w:rsidR="0057565C">
        <w:t>,</w:t>
      </w:r>
      <w:r w:rsidR="000A712A">
        <w:t xml:space="preserve"> a</w:t>
      </w:r>
      <w:r w:rsidR="0057565C">
        <w:t xml:space="preserve"> form of </w:t>
      </w:r>
      <w:r w:rsidR="000A712A">
        <w:t>dimensionality reduction</w:t>
      </w:r>
      <w:r w:rsidR="0057565C">
        <w:t>, to identify themes and the distribution in the corpus (Blei, 2012)</w:t>
      </w:r>
      <w:r w:rsidR="000A712A">
        <w:t xml:space="preserve">. </w:t>
      </w:r>
      <w:r w:rsidR="0057565C">
        <w:t xml:space="preserve">For example, </w:t>
      </w:r>
      <w:r w:rsidR="0057565C" w:rsidRPr="0057565C">
        <w:t>Székely and Vom (2017)</w:t>
      </w:r>
      <w:r w:rsidR="0057565C">
        <w:t xml:space="preserve"> used LDA to identify (i) companies’ sustainability practices and their development over time, (ii) the coverage of economic, environmental, and social aspects in sustainability reports, and (iii) the differences in sustainability reporting and practices among certain sectors.</w:t>
      </w:r>
    </w:p>
    <w:p w14:paraId="5A30C219" w14:textId="77777777" w:rsidR="0057565C" w:rsidRDefault="0057565C" w:rsidP="0057565C">
      <w:pPr>
        <w:pStyle w:val="ListParagraph"/>
      </w:pPr>
    </w:p>
    <w:p w14:paraId="643AAFD4" w14:textId="0F8AC83F" w:rsidR="008E5561" w:rsidRDefault="0057565C" w:rsidP="0057565C">
      <w:pPr>
        <w:pStyle w:val="ListParagraph"/>
      </w:pPr>
      <w:r>
        <w:t>The technicalities of LDA will discussed in the methodology section.</w:t>
      </w:r>
    </w:p>
    <w:p w14:paraId="7CD0DA0B" w14:textId="77777777" w:rsidR="008E5561" w:rsidRDefault="008E5561" w:rsidP="008E5561">
      <w:pPr>
        <w:pStyle w:val="ListParagraph"/>
      </w:pPr>
    </w:p>
    <w:p w14:paraId="67F35281" w14:textId="77777777" w:rsidR="006D069C" w:rsidRDefault="008E5561" w:rsidP="00497603">
      <w:pPr>
        <w:ind w:left="720"/>
      </w:pPr>
      <w:r>
        <w:t xml:space="preserve">An analysis of the thematic structure of sustainability reports in Kang and Kim (2022) showed that across time, the distribution of themes </w:t>
      </w:r>
      <w:r w:rsidR="000A712A">
        <w:t>is</w:t>
      </w:r>
      <w:r>
        <w:t xml:space="preserve"> similar. </w:t>
      </w:r>
      <w:r w:rsidR="000A712A">
        <w:t>However, across companies of different nature and industry, this varies. Following on by the six dimensions proposed and documented in Table (x) above, the findings are presented in Figure (x)</w:t>
      </w:r>
      <w:r w:rsidR="006D069C">
        <w:t xml:space="preserve">. </w:t>
      </w:r>
    </w:p>
    <w:p w14:paraId="2CE5BBB1" w14:textId="77777777" w:rsidR="006D069C" w:rsidRDefault="006D069C" w:rsidP="00497603">
      <w:pPr>
        <w:ind w:left="720"/>
      </w:pPr>
    </w:p>
    <w:p w14:paraId="239030DF" w14:textId="5700080D" w:rsidR="000A712A" w:rsidRDefault="006D069C" w:rsidP="00497603">
      <w:pPr>
        <w:ind w:left="720"/>
      </w:pPr>
      <w:r w:rsidRPr="006D069C">
        <w:t>Székely and Vom (2017)</w:t>
      </w:r>
      <w:r>
        <w:t xml:space="preserve"> made observations through performing a thematic analysis and documented the mean probability of occurrence of environmental, social, and economic topics in topics released from 1999 through to 2014. </w:t>
      </w:r>
      <w:r w:rsidR="000528A2">
        <w:t>It is seen that economic sustainability topics are of increasing importance for organisations, especially after the economic shocks of 2008-2009</w:t>
      </w:r>
      <w:r w:rsidR="0012486A">
        <w:t xml:space="preserve"> (Freundlieb, 2013)</w:t>
      </w:r>
      <w:r w:rsidR="000528A2">
        <w:t xml:space="preserve">. Also, from 2010 onwards, topics on environmental, social, and </w:t>
      </w:r>
      <w:r w:rsidR="000528A2">
        <w:lastRenderedPageBreak/>
        <w:t>economic sustainability were more equally distributed. These trends are presented in Figure (x).</w:t>
      </w:r>
    </w:p>
    <w:p w14:paraId="31BB5E5C" w14:textId="77777777" w:rsidR="001210A8" w:rsidRDefault="001210A8" w:rsidP="00497603">
      <w:pPr>
        <w:ind w:left="720"/>
      </w:pPr>
    </w:p>
    <w:p w14:paraId="2C148C56" w14:textId="0704F487" w:rsidR="00C41E81" w:rsidRDefault="00C41E81" w:rsidP="00497603">
      <w:pPr>
        <w:ind w:left="720"/>
      </w:pPr>
    </w:p>
    <w:p w14:paraId="1E4CC167" w14:textId="0BDCC3E4" w:rsidR="000A712A" w:rsidRDefault="000A712A" w:rsidP="00497603">
      <w:pPr>
        <w:ind w:left="720"/>
        <w:jc w:val="center"/>
      </w:pPr>
      <w:r w:rsidRPr="00A52331">
        <w:rPr>
          <w:noProof/>
        </w:rPr>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3"/>
                    </a:xfrm>
                    <a:prstGeom prst="rect">
                      <a:avLst/>
                    </a:prstGeom>
                  </pic:spPr>
                </pic:pic>
              </a:graphicData>
            </a:graphic>
          </wp:inline>
        </w:drawing>
      </w:r>
    </w:p>
    <w:p w14:paraId="0663F0F5" w14:textId="04B835E0" w:rsidR="000A712A" w:rsidRDefault="000A712A" w:rsidP="00497603">
      <w:pPr>
        <w:pStyle w:val="Caption"/>
        <w:ind w:left="720"/>
      </w:pPr>
      <w:bookmarkStart w:id="43" w:name="_Toc113789631"/>
      <w:r>
        <w:t xml:space="preserve">Figure </w:t>
      </w:r>
      <w:fldSimple w:instr=" SEQ Figure \* ARABIC ">
        <w:r w:rsidR="00742778">
          <w:rPr>
            <w:noProof/>
          </w:rPr>
          <w:t>10</w:t>
        </w:r>
      </w:fldSimple>
      <w:r>
        <w:t>: Thematic distribution of topics within sustainability reports - comparison of six firms from 2011 to 2020 (Kang and Kim, 2022).</w:t>
      </w:r>
      <w:bookmarkEnd w:id="43"/>
    </w:p>
    <w:p w14:paraId="71AD9489" w14:textId="2B283425" w:rsidR="001210A8" w:rsidRDefault="001210A8" w:rsidP="001210A8"/>
    <w:p w14:paraId="08E15F05" w14:textId="77777777" w:rsidR="001210A8" w:rsidRDefault="001210A8" w:rsidP="001210A8">
      <w:pPr>
        <w:ind w:left="720"/>
        <w:jc w:val="center"/>
      </w:pPr>
      <w:r w:rsidRPr="00365848">
        <w:rPr>
          <w:noProof/>
        </w:rPr>
        <w:lastRenderedPageBreak/>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27"/>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2EE61A4C" w:rsidR="001210A8" w:rsidRPr="000528A2" w:rsidRDefault="001210A8" w:rsidP="001210A8">
      <w:pPr>
        <w:pStyle w:val="Caption"/>
        <w:ind w:left="720"/>
      </w:pPr>
      <w:bookmarkStart w:id="44" w:name="_Toc113789632"/>
      <w:r>
        <w:t xml:space="preserve">Figure </w:t>
      </w:r>
      <w:fldSimple w:instr=" SEQ Figure \* ARABIC ">
        <w:r w:rsidR="00742778">
          <w:rPr>
            <w:noProof/>
          </w:rPr>
          <w:t>11</w:t>
        </w:r>
      </w:fldSimple>
      <w:r>
        <w:t>: Mean probability of occurrence of environmental, social, and economic topics in he years 1999 until 2014 (</w:t>
      </w:r>
      <w:r w:rsidRPr="000528A2">
        <w:t>Székely and Vom</w:t>
      </w:r>
      <w:r>
        <w:t>, 2017).</w:t>
      </w:r>
      <w:bookmarkEnd w:id="44"/>
    </w:p>
    <w:p w14:paraId="010F6B24" w14:textId="674AF235" w:rsidR="00C41E81" w:rsidRDefault="00C41E81" w:rsidP="00397D8B"/>
    <w:p w14:paraId="031180AF" w14:textId="42CB30F8" w:rsidR="00411E2D" w:rsidRDefault="00411E2D" w:rsidP="00411E2D">
      <w:pPr>
        <w:pStyle w:val="ListParagraph"/>
        <w:numPr>
          <w:ilvl w:val="0"/>
          <w:numId w:val="4"/>
        </w:numPr>
      </w:pPr>
      <w:r>
        <w:t xml:space="preserve">A readability assessment was employed in Smeuninx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411E2D">
      <w:pPr>
        <w:pStyle w:val="ListParagraph"/>
        <w:numPr>
          <w:ilvl w:val="1"/>
          <w:numId w:val="4"/>
        </w:numPr>
      </w:pPr>
      <w:r>
        <w:t xml:space="preserve">The Flesch Reading Ease Score (Flesh, 1948) – comparing the corpus readability with that of other genres – most commonly used, </w:t>
      </w:r>
    </w:p>
    <w:p w14:paraId="2FC44851" w14:textId="77777777" w:rsidR="00411E2D" w:rsidRDefault="00411E2D" w:rsidP="00411E2D">
      <w:pPr>
        <w:ind w:left="360"/>
      </w:pPr>
    </w:p>
    <w:p w14:paraId="18172199" w14:textId="77777777" w:rsidR="00411E2D" w:rsidRDefault="00411E2D" w:rsidP="00411E2D">
      <w:pPr>
        <w:pStyle w:val="ListParagraph"/>
        <w:numPr>
          <w:ilvl w:val="1"/>
          <w:numId w:val="4"/>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411E2D">
      <w:pPr>
        <w:pStyle w:val="ListParagraph"/>
        <w:numPr>
          <w:ilvl w:val="1"/>
          <w:numId w:val="4"/>
        </w:numPr>
      </w:pPr>
      <w:r>
        <w:t>The Gunning Fox Index (Gunning, 1952; revised in Bogert, 1985) – distil a grade-level measure similar to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0BA1E1C3" w14:textId="17B3E76E" w:rsidR="003F631B" w:rsidRDefault="00B016B4" w:rsidP="003F631B">
      <w:pPr>
        <w:pStyle w:val="ListParagraph"/>
      </w:pPr>
      <w:r>
        <w:t xml:space="preserve">In consideration of the metrics above, </w:t>
      </w:r>
      <w:r w:rsidRPr="00B016B4">
        <w:t>Butler and Keselj (2009) suggested that</w:t>
      </w:r>
      <w:r>
        <w:t xml:space="preserve"> prospective analysis could use readability analysis to identify ‘companies that produce more easily read annual reports’, which may indicate that it is a safer investment. </w:t>
      </w:r>
      <w:r w:rsidR="003F631B" w:rsidRPr="003F631B">
        <w:t xml:space="preserve">The readability of corporate reports and disclosures may be a </w:t>
      </w:r>
      <w:r w:rsidR="003F631B" w:rsidRPr="003F631B">
        <w:lastRenderedPageBreak/>
        <w:t>product of management motivation to obfuscate poor firm performance (Butler &amp; Keselj, 2009) and even fraud (Goel et al. 2010).</w:t>
      </w:r>
    </w:p>
    <w:p w14:paraId="7A87B88F" w14:textId="77777777" w:rsidR="00411E2D" w:rsidRDefault="00411E2D" w:rsidP="00411E2D">
      <w:pPr>
        <w:pStyle w:val="ListParagraph"/>
      </w:pPr>
    </w:p>
    <w:p w14:paraId="55C826DC" w14:textId="219A7888" w:rsidR="00411E2D" w:rsidRDefault="00411E2D" w:rsidP="00411E2D">
      <w:pPr>
        <w:pStyle w:val="ListParagraph"/>
      </w:pPr>
      <w:r>
        <w:t xml:space="preserve">It was observed that in companies and reporting years with better economic performance, (i) the linguistical parse trees were shallower, indicating less complexity in the test, and (ii) there was more active language used, which </w:t>
      </w:r>
      <w:r w:rsidR="00A6111D">
        <w:t>signals more</w:t>
      </w:r>
      <w:r>
        <w:t xml:space="preserve"> internal attribution</w:t>
      </w:r>
      <w:r w:rsidR="00A6111D">
        <w:t xml:space="preserve"> (Smeuninx et al., 2020).</w:t>
      </w:r>
      <w:r w:rsidR="007C33A4">
        <w:t xml:space="preserve"> Internal attribution of results (i.e. the internal locus of control) is invoked when there is a favourable financial performance, while external attribution of results is invited by a poor performance. On the contrary, passive structures allow for obfuscation in enabling report writings to conceal agency (Rutherford, 2003).</w:t>
      </w:r>
    </w:p>
    <w:p w14:paraId="3E0EB473" w14:textId="552D7EB6" w:rsidR="00D85E9D" w:rsidRDefault="00D85E9D" w:rsidP="00411E2D">
      <w:pPr>
        <w:pStyle w:val="ListParagraph"/>
      </w:pPr>
    </w:p>
    <w:p w14:paraId="4D62EB47" w14:textId="26FB1332" w:rsidR="00D85E9D" w:rsidRDefault="00D85E9D" w:rsidP="00411E2D">
      <w:pPr>
        <w:pStyle w:val="ListParagraph"/>
      </w:pPr>
      <w:r>
        <w:t xml:space="preserve">This is similarly confirmed in prior literature. </w:t>
      </w:r>
      <w:r w:rsidRPr="00D85E9D">
        <w:t xml:space="preserve">Manual text analysis established that annual report readability is a direct predictor of firm performance, with poor readability associated with poor performance and vice versa (Smith </w:t>
      </w:r>
      <w:r>
        <w:t>and</w:t>
      </w:r>
      <w:r w:rsidRPr="00D85E9D">
        <w:t xml:space="preserve"> Taffler, 1992a, 1992b; Clatworthy </w:t>
      </w:r>
      <w:r>
        <w:t>and</w:t>
      </w:r>
      <w:r w:rsidRPr="00D85E9D">
        <w:t xml:space="preserve"> Jones, 2001, 2003, 2006).</w:t>
      </w:r>
      <w:r>
        <w:t xml:space="preserve"> </w:t>
      </w:r>
      <w:r w:rsidRPr="00D85E9D">
        <w:t>Studies employing basic text mining confirmed this phenomenon (Othman et al., 2012; De Franco et al., 2012; Loughran and McDonald, 2014)</w:t>
      </w:r>
      <w:r>
        <w:t xml:space="preserve">. </w:t>
      </w:r>
      <w:r w:rsidRPr="00D85E9D">
        <w:t>NLP</w:t>
      </w:r>
      <w:r>
        <w:t xml:space="preserve"> </w:t>
      </w:r>
      <w:r w:rsidRPr="00D85E9D">
        <w:t>combined with Flesch, Flesch-Kincaid, and Fog index scores to assess readability, enabled the team to forecast upcoming annual stock performance with over 60% accuracy (Butler and Keselj, 2009</w:t>
      </w:r>
      <w:r>
        <w:t>).</w:t>
      </w:r>
    </w:p>
    <w:p w14:paraId="413AB8D7" w14:textId="292EBBFF" w:rsidR="00411E2D" w:rsidRDefault="00411E2D" w:rsidP="00411E2D">
      <w:pPr>
        <w:ind w:left="360"/>
      </w:pPr>
    </w:p>
    <w:p w14:paraId="675A1998" w14:textId="77777777" w:rsidR="00411E2D" w:rsidRDefault="00411E2D" w:rsidP="00397D8B"/>
    <w:p w14:paraId="08273084" w14:textId="77777777" w:rsidR="00A45D2B" w:rsidRDefault="00A45D2B" w:rsidP="00A45D2B">
      <w:pPr>
        <w:pStyle w:val="Heading2"/>
      </w:pPr>
      <w:bookmarkStart w:id="45" w:name="_Toc113806126"/>
      <w:r>
        <w:t>Prior Approaches</w:t>
      </w:r>
      <w:bookmarkEnd w:id="45"/>
    </w:p>
    <w:p w14:paraId="627CF9D0" w14:textId="77777777" w:rsidR="00A45D2B" w:rsidRPr="00065B27" w:rsidRDefault="00A45D2B" w:rsidP="00A45D2B"/>
    <w:p w14:paraId="7083B798" w14:textId="659B073F" w:rsidR="00A45D2B" w:rsidRDefault="00A45D2B" w:rsidP="00397D8B">
      <w:r w:rsidRPr="00AC291E">
        <w:t xml:space="preserve">Prior studies conducted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(Kasbun et al., 2017; Aggarwal, 2013-a; Motwani and Pandya, 2016; Ching et al., 2017; Jones et al., 2007). Others conducted a longitudinal study comparing companies’ performance across years (Tsang, 1998; Wahyuningrum et al., 2021). In longitudinal </w:t>
      </w:r>
      <w:r w:rsidRPr="00AC291E">
        <w:lastRenderedPageBreak/>
        <w:t>studies, the authors sought to examine if an improvement in CSR disclosures resulted in a similar improvement in CFP.</w:t>
      </w:r>
    </w:p>
    <w:p w14:paraId="6A5836CB" w14:textId="77777777" w:rsidR="00397D8B" w:rsidRDefault="00397D8B" w:rsidP="00397D8B"/>
    <w:p w14:paraId="553AF74A" w14:textId="61E0F80A" w:rsidR="00397D8B" w:rsidRDefault="00397D8B" w:rsidP="00397D8B">
      <w:r>
        <w:t xml:space="preserve">Studies examined used regression analysis in testing the statistical significance. </w:t>
      </w:r>
      <w:r w:rsidR="009330C2">
        <w:t>Regression, through the Partial Least Squares (PLS)</w:t>
      </w:r>
      <w:r w:rsidR="009330C2">
        <w:rPr>
          <w:rStyle w:val="FootnoteReference"/>
        </w:rPr>
        <w:footnoteReference w:id="2"/>
      </w:r>
      <w:r w:rsidR="009330C2">
        <w:t xml:space="preserve"> method was preferred in</w:t>
      </w:r>
      <w:r w:rsidR="00397123">
        <w:t xml:space="preserve"> Rodgers et al. (20</w:t>
      </w:r>
      <w:r w:rsidR="00807C71">
        <w:t>1</w:t>
      </w:r>
      <w:r w:rsidR="00397123">
        <w:t>3) and</w:t>
      </w:r>
      <w:r w:rsidR="009330C2">
        <w:t xml:space="preserve">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w:t>
      </w:r>
      <w:r>
        <w:t>Loh et al. (2017) used the Ohlson model (Ohlson, 1995) as a baseline model and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w:t>
      </w:r>
      <w:r w:rsidR="007C17F8">
        <w:t xml:space="preserve"> </w:t>
      </w:r>
      <w:r w:rsidR="007B6E5B">
        <w:t>Engelberg (2008) used regression analysis to demonstrate that the tone of company’s announcements is positively correlated (p &lt; 0.01) with future firm performance (p &lt;0.01).</w:t>
      </w:r>
      <w:r w:rsidR="000442CB">
        <w:t xml:space="preserve"> </w:t>
      </w:r>
    </w:p>
    <w:p w14:paraId="4C32CAD8" w14:textId="539C91FD" w:rsidR="007C17F8" w:rsidRDefault="007C17F8" w:rsidP="00397D8B"/>
    <w:p w14:paraId="389988BA" w14:textId="7B129FDA" w:rsidR="007C17F8" w:rsidRDefault="007C17F8" w:rsidP="00397D8B">
      <w:r>
        <w:t>The</w:t>
      </w:r>
      <w:r w:rsidR="002A35A7">
        <w:t>r</w:t>
      </w:r>
      <w:r>
        <w:t>e were also studies that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w:t>
      </w:r>
      <w:r w:rsidR="00E5107D">
        <w:t xml:space="preserve"> and Qiu et al. (2014)</w:t>
      </w:r>
      <w:r>
        <w:t xml:space="preserve"> used an SVM classifier algorithm to investigate the correlation between corporate disclosures and </w:t>
      </w:r>
      <w:r w:rsidR="00E5107D">
        <w:t xml:space="preserve">future </w:t>
      </w:r>
      <w:r>
        <w:t>firm performance (p &lt; 0.05</w:t>
      </w:r>
      <w:r w:rsidR="00E5107D">
        <w:t>, p&lt;0.001 respectively)</w:t>
      </w:r>
      <w:r>
        <w:t xml:space="preserve">. </w:t>
      </w:r>
      <w:r w:rsidR="004E700F">
        <w:t>Brown and Tucker (2011) used a vector space model classifier to identify financial reactions to management discussion and analysis modifications (p &lt; 0.10).</w:t>
      </w:r>
    </w:p>
    <w:p w14:paraId="77D1AF62" w14:textId="42422E80" w:rsidR="002A35A7" w:rsidRDefault="002A35A7" w:rsidP="00397D8B"/>
    <w:p w14:paraId="7FFEAD8D" w14:textId="4B15EB75" w:rsidR="002A35A7" w:rsidRDefault="002A35A7" w:rsidP="00397D8B">
      <w:r>
        <w:lastRenderedPageBreak/>
        <w:t>To take an exploratory angle, studies considered unsupervised methods. Bao and Datta (2014) employed an LDA unsupervised topic model to learn the topics in the corpus, before using a kNN classification algorithm to analyse textual disclosures.</w:t>
      </w:r>
    </w:p>
    <w:p w14:paraId="522DC127" w14:textId="77777777" w:rsidR="00397D8B" w:rsidRDefault="00397D8B" w:rsidP="00397D8B"/>
    <w:p w14:paraId="022942DD" w14:textId="32D14435" w:rsidR="00397D8B" w:rsidRDefault="00397D8B" w:rsidP="00397D8B">
      <w:r>
        <w:t>Some studies sought to distinguish results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the status. They considered whether being a Government-Linked Company or a family-owned business should have significant differences. Distinguishing companies with these characteristics is another potential approach. Examining the distinction between different industries is worth considering, given that the TCFD’s recommendations have only singled out several industries for disclosures.</w:t>
      </w:r>
    </w:p>
    <w:p w14:paraId="21327654" w14:textId="77777777" w:rsidR="00B035F1" w:rsidRDefault="00B035F1" w:rsidP="00397D8B"/>
    <w:p w14:paraId="03F6B835" w14:textId="77777777" w:rsidR="00397D8B" w:rsidRDefault="00397D8B" w:rsidP="00397D8B">
      <w:r>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86EB0D" w14:textId="645050FF" w:rsidR="0014085D" w:rsidRDefault="0014085D" w:rsidP="00397D8B">
      <w:r>
        <w:br w:type="page"/>
      </w:r>
    </w:p>
    <w:p w14:paraId="4D6BD580" w14:textId="57D62E12" w:rsidR="00EA4579" w:rsidRDefault="00EA4579" w:rsidP="00EA4579">
      <w:pPr>
        <w:pStyle w:val="Heading1"/>
      </w:pPr>
      <w:bookmarkStart w:id="46" w:name="_Toc113806127"/>
      <w:r>
        <w:lastRenderedPageBreak/>
        <w:t>Methodology</w:t>
      </w:r>
      <w:bookmarkEnd w:id="46"/>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47" w:name="_Toc113806128"/>
      <w:r>
        <w:t>Research Questions</w:t>
      </w:r>
      <w:bookmarkEnd w:id="47"/>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70160C0F" w:rsidR="00112163" w:rsidRDefault="00112163" w:rsidP="004E6BCB">
      <w:pPr>
        <w:pStyle w:val="ListParagraph"/>
        <w:numPr>
          <w:ilvl w:val="0"/>
          <w:numId w:val="2"/>
        </w:numPr>
      </w:pPr>
      <w:r>
        <w:t>What are the most prominent topics in sustainability reports from an exploratory topic modelling analysis? Will this resemble the disclosure themes in frameworks like the GRI and SASB?</w:t>
      </w:r>
    </w:p>
    <w:p w14:paraId="1F8C8D75" w14:textId="77777777" w:rsidR="00112163" w:rsidRDefault="00112163" w:rsidP="00112163"/>
    <w:p w14:paraId="6E1B74E7" w14:textId="68E76F36" w:rsidR="00112163" w:rsidRDefault="00112163" w:rsidP="004E6BCB">
      <w:pPr>
        <w:pStyle w:val="ListParagraph"/>
        <w:numPr>
          <w:ilvl w:val="0"/>
          <w:numId w:val="2"/>
        </w:numPr>
      </w:pPr>
      <w:r>
        <w:t>How do these topics identified in (1) relate to CFP?</w:t>
      </w:r>
    </w:p>
    <w:p w14:paraId="2E60B2FC" w14:textId="77777777" w:rsidR="00112163" w:rsidRDefault="00112163" w:rsidP="00112163"/>
    <w:p w14:paraId="4EBF4B22" w14:textId="07509E19" w:rsidR="00112163" w:rsidRDefault="00112163" w:rsidP="004E6BCB">
      <w:pPr>
        <w:pStyle w:val="ListParagraph"/>
        <w:numPr>
          <w:ilvl w:val="0"/>
          <w:numId w:val="2"/>
        </w:numPr>
      </w:pPr>
      <w:r>
        <w:t>How does the sentiment score of a sustainability report relate to corporate financial performance?</w:t>
      </w:r>
    </w:p>
    <w:p w14:paraId="1BB22C2C" w14:textId="77777777" w:rsidR="00112163" w:rsidRDefault="00112163" w:rsidP="00112163"/>
    <w:p w14:paraId="23D3807D" w14:textId="79FF1922" w:rsidR="00112163" w:rsidRDefault="00112163" w:rsidP="004E6BCB">
      <w:pPr>
        <w:pStyle w:val="ListParagraph"/>
        <w:numPr>
          <w:ilvl w:val="0"/>
          <w:numId w:val="2"/>
        </w:numPr>
      </w:pPr>
      <w:r>
        <w:t>Are there material differences in the relationship between CSR disclosures and CFP at this point, vis-à-vis prior studies conducted by Tsang, 1998; Loh et al., 2017 and Wahyuningrum et al., 2021?</w:t>
      </w:r>
    </w:p>
    <w:p w14:paraId="6588D7D1" w14:textId="77777777" w:rsidR="00F557B2" w:rsidRDefault="00F557B2" w:rsidP="00F557B2">
      <w:pPr>
        <w:pStyle w:val="ListParagraph"/>
      </w:pPr>
    </w:p>
    <w:p w14:paraId="4FF6DD36" w14:textId="77777777" w:rsidR="00D601D6" w:rsidRDefault="00D601D6">
      <w:pPr>
        <w:spacing w:after="160" w:line="259" w:lineRule="auto"/>
        <w:jc w:val="left"/>
        <w:rPr>
          <w:i/>
          <w:iCs/>
          <w:sz w:val="28"/>
          <w:szCs w:val="28"/>
        </w:rPr>
      </w:pPr>
      <w:r>
        <w:br w:type="page"/>
      </w:r>
    </w:p>
    <w:p w14:paraId="4A742A55" w14:textId="6C2E86D0" w:rsidR="00F557B2" w:rsidRDefault="00F557B2" w:rsidP="00F557B2">
      <w:pPr>
        <w:pStyle w:val="Heading2"/>
      </w:pPr>
      <w:r>
        <w:lastRenderedPageBreak/>
        <w:t>Sample Description</w:t>
      </w:r>
    </w:p>
    <w:p w14:paraId="7ADFC364" w14:textId="3F7101DB" w:rsidR="0014085D" w:rsidRDefault="0014085D" w:rsidP="0014085D"/>
    <w:p w14:paraId="10088B70" w14:textId="5CFBC7BC" w:rsidR="00D601D6" w:rsidRDefault="00F557B2" w:rsidP="0014085D">
      <w:r>
        <w:t xml:space="preserve">This study will use companies which are component indices of the Straits Times Index (STI), which is the </w:t>
      </w:r>
      <w:r w:rsidRPr="00F557B2">
        <w:t>market capitalisation weighted index that tracks the performance of the top 30 companies listed on SGX.</w:t>
      </w:r>
    </w:p>
    <w:p w14:paraId="422A5688" w14:textId="6D467413" w:rsidR="00D601D6" w:rsidRDefault="00D601D6" w:rsidP="0014085D"/>
    <w:p w14:paraId="53C52EA4" w14:textId="18122341" w:rsidR="007D7245" w:rsidRDefault="00D601D6" w:rsidP="0014085D">
      <w:r>
        <w:t>Companies listed on the Singapore Stock Exchange are of interest, given  that they have</w:t>
      </w:r>
      <w:r w:rsidRPr="00D601D6">
        <w:t xml:space="preserve"> </w:t>
      </w:r>
      <w:r w:rsidRPr="00D601D6">
        <w:t>excelled in tracking and disclosing metrics across historical periods</w:t>
      </w:r>
      <w:r>
        <w:t xml:space="preserve"> (Loh and Tang, 2021)</w:t>
      </w:r>
      <w:r w:rsidRPr="00D601D6">
        <w:t>. This aids trend analysis and makes Singapore-listed companies a suitable candidate for the analysis</w:t>
      </w:r>
      <w:r>
        <w:t>.</w:t>
      </w:r>
      <w:r w:rsidR="007D7245">
        <w:t xml:space="preserve"> Given also, that Singapore is implementing </w:t>
      </w:r>
      <w:r w:rsidR="007D7245" w:rsidRPr="007D7245">
        <w:t>climate reporting on a "comply or explain" basis in their sustainability reports from the financial year starting 2022</w:t>
      </w:r>
      <w:r w:rsidR="007D7245">
        <w:t xml:space="preserve"> and is making it mandatory in phases for specific industries in 2023 and 2024</w:t>
      </w:r>
      <w:r w:rsidR="00247FEE">
        <w:t xml:space="preserve"> (Reuters, 2021)</w:t>
      </w:r>
      <w:r w:rsidR="007D7245">
        <w:t>, this is a timely period to take stock of the current state of sustainability reports before new rules come into force</w:t>
      </w:r>
      <w:r w:rsidR="00E76407">
        <w:t>.</w:t>
      </w:r>
    </w:p>
    <w:p w14:paraId="0ADF30C9" w14:textId="2F5F3D07" w:rsidR="00E76407" w:rsidRDefault="00E76407" w:rsidP="0014085D"/>
    <w:p w14:paraId="7F44D9BC" w14:textId="7B39B3FA" w:rsidR="004176BC" w:rsidRPr="0014085D" w:rsidRDefault="00E76407" w:rsidP="0014085D">
      <w:r>
        <w:t>The samples will consist of sustainability reports of 30 companies in the STI from 2015 to 2021. The start of the time frame is financial periods ending in 2015, because this is when a significant number of companies listed in Singapore began publishing sustainability reports</w:t>
      </w:r>
      <w:r w:rsidR="00E16B17">
        <w:t>.</w:t>
      </w:r>
      <w:r w:rsidR="00793B96">
        <w:t xml:space="preserve"> Where the sustainability report was not available, the “sustainability” or relevant section from the annual report was extracted.</w:t>
      </w:r>
      <w:r w:rsidR="00E16B17">
        <w:t xml:space="preserve"> </w:t>
      </w:r>
      <w:r w:rsidR="006B7ABE">
        <w:t>There are a total of 20</w:t>
      </w:r>
      <w:r w:rsidR="00793B96">
        <w:t>5</w:t>
      </w:r>
      <w:r w:rsidR="006B7ABE">
        <w:t xml:space="preserve"> reports in the corpus</w:t>
      </w:r>
      <w:r w:rsidR="00793B96">
        <w:t>.</w:t>
      </w:r>
      <w:r w:rsidR="004176BC">
        <w:t xml:space="preserve"> The reports and their original source are summarised in </w:t>
      </w:r>
      <w:r w:rsidR="004176BC" w:rsidRPr="004176BC">
        <w:rPr>
          <w:highlight w:val="yellow"/>
        </w:rPr>
        <w:t>Table (x)</w:t>
      </w:r>
      <w:r w:rsidR="004176BC">
        <w:t>.</w:t>
      </w:r>
    </w:p>
    <w:p w14:paraId="55174D58" w14:textId="77777777" w:rsidR="00F557B2" w:rsidRDefault="00F557B2">
      <w:pPr>
        <w:spacing w:after="160" w:line="259" w:lineRule="auto"/>
        <w:jc w:val="left"/>
        <w:rPr>
          <w:i/>
          <w:iCs/>
          <w:sz w:val="28"/>
          <w:szCs w:val="28"/>
        </w:rPr>
      </w:pPr>
      <w:bookmarkStart w:id="48" w:name="_Toc113806130"/>
      <w:r>
        <w:br w:type="page"/>
      </w:r>
    </w:p>
    <w:p w14:paraId="48503C35" w14:textId="50C5F365" w:rsidR="0014085D" w:rsidRDefault="0014085D" w:rsidP="0014085D">
      <w:pPr>
        <w:pStyle w:val="Heading2"/>
      </w:pPr>
      <w:r>
        <w:lastRenderedPageBreak/>
        <w:t>Data Sources</w:t>
      </w:r>
      <w:bookmarkEnd w:id="48"/>
    </w:p>
    <w:p w14:paraId="470D1DA9" w14:textId="6AE4A470" w:rsidR="007C28B1" w:rsidRDefault="007C28B1" w:rsidP="007C28B1"/>
    <w:p w14:paraId="60854CB5" w14:textId="71F1CAB8" w:rsidR="007C28B1" w:rsidRDefault="007C28B1" w:rsidP="007C28B1">
      <w:r>
        <w:t>Some prior studies have opted to use processed data from various sources.</w:t>
      </w:r>
      <w:r w:rsidR="004D0DD3">
        <w:t xml:space="preserve"> For example, Rodgers et al. (2013) used employee, customer satisfaction, and overall social responsibility score from business-ethics.com. Other commonly used sources include ESG metrics from Bloomberg or Thomson Reuters terminals.</w:t>
      </w:r>
    </w:p>
    <w:p w14:paraId="26E90600" w14:textId="66647937" w:rsidR="006D5A7F" w:rsidRDefault="006D5A7F" w:rsidP="007C28B1"/>
    <w:p w14:paraId="378B13DD" w14:textId="383A2CEA" w:rsidR="006D5A7F" w:rsidRPr="007C28B1" w:rsidRDefault="006D5A7F" w:rsidP="007C28B1">
      <w:r>
        <w:t>This study seeks to use documents provided by the companies themselves when filing their disclosures, and use NLP techniques to directly derive insights from the raw text of the sustainability reports.</w:t>
      </w:r>
    </w:p>
    <w:p w14:paraId="12BB611B" w14:textId="6D4FE9AE" w:rsidR="0014085D" w:rsidRDefault="0014085D">
      <w:pPr>
        <w:spacing w:after="160" w:line="259" w:lineRule="auto"/>
        <w:jc w:val="left"/>
      </w:pPr>
    </w:p>
    <w:p w14:paraId="2DC49E90" w14:textId="518E4582" w:rsidR="009B1A59" w:rsidRDefault="009B1A59" w:rsidP="009B1A59">
      <w:pPr>
        <w:pStyle w:val="Heading2"/>
      </w:pPr>
      <w:bookmarkStart w:id="49" w:name="_Toc113806131"/>
      <w:r>
        <w:t>Dependent Variable</w:t>
      </w:r>
      <w:r w:rsidR="00B54ADB">
        <w:t>s</w:t>
      </w:r>
      <w:bookmarkEnd w:id="49"/>
    </w:p>
    <w:p w14:paraId="1E86DE89" w14:textId="77777777" w:rsidR="009B1A59" w:rsidRPr="009B1A59" w:rsidRDefault="009B1A59" w:rsidP="009B1A59"/>
    <w:p w14:paraId="3C11B053" w14:textId="1FE56DC7" w:rsidR="00B54ADB" w:rsidRDefault="00B54ADB" w:rsidP="00B54ADB">
      <w:pPr>
        <w:pStyle w:val="Heading2"/>
      </w:pPr>
      <w:bookmarkStart w:id="50" w:name="_Toc113806132"/>
      <w:r>
        <w:t>Independent Variables</w:t>
      </w:r>
      <w:bookmarkEnd w:id="50"/>
    </w:p>
    <w:p w14:paraId="5704C4B1" w14:textId="77777777" w:rsidR="007D7245" w:rsidRPr="007D7245" w:rsidRDefault="007D7245" w:rsidP="007D7245"/>
    <w:p w14:paraId="1D0E495B" w14:textId="1CB0CD34" w:rsidR="003F631B" w:rsidRDefault="003F631B" w:rsidP="003F631B">
      <w:pPr>
        <w:pStyle w:val="Heading2"/>
      </w:pPr>
      <w:bookmarkStart w:id="51" w:name="_Toc113806133"/>
      <w:r>
        <w:t>Tokenisation</w:t>
      </w:r>
      <w:bookmarkEnd w:id="51"/>
    </w:p>
    <w:p w14:paraId="45BD1676" w14:textId="02138D27" w:rsidR="003F631B" w:rsidRDefault="003F631B" w:rsidP="003F631B"/>
    <w:p w14:paraId="431AD44E" w14:textId="1CBA3F47" w:rsidR="003F631B" w:rsidRDefault="003F631B" w:rsidP="003F631B">
      <w:r>
        <w:t xml:space="preserve">The </w:t>
      </w:r>
      <w:r w:rsidRPr="003F631B">
        <w:t>TF-IDF term weighting is also commonly used in the vector space model, which was used in several studies</w:t>
      </w:r>
      <w:r w:rsidR="00C23448">
        <w:t xml:space="preserve"> (Fisher et al., 2016)</w:t>
      </w:r>
      <w:r w:rsidRPr="003F631B">
        <w:t>.</w:t>
      </w:r>
    </w:p>
    <w:p w14:paraId="3A4A5337" w14:textId="77777777" w:rsidR="003F631B" w:rsidRPr="003F631B" w:rsidRDefault="003F631B" w:rsidP="003F631B"/>
    <w:p w14:paraId="0D051019" w14:textId="42078ABF" w:rsidR="00B54ADB" w:rsidRDefault="00B54ADB" w:rsidP="00B54ADB">
      <w:pPr>
        <w:pStyle w:val="Heading2"/>
      </w:pPr>
      <w:bookmarkStart w:id="52" w:name="_Toc113806134"/>
      <w:r>
        <w:t>Latent Dirichlet Allocation</w:t>
      </w:r>
      <w:bookmarkEnd w:id="52"/>
    </w:p>
    <w:p w14:paraId="3A72ABA5" w14:textId="6E704E8B" w:rsidR="00B54ADB" w:rsidRDefault="00B54ADB" w:rsidP="00B54ADB"/>
    <w:p w14:paraId="6582296C" w14:textId="61BF1701" w:rsidR="00B54ADB" w:rsidRPr="00B54ADB" w:rsidRDefault="00B54ADB" w:rsidP="00B54ADB">
      <w:r>
        <w:t xml:space="preserve">LDA </w:t>
      </w:r>
    </w:p>
    <w:p w14:paraId="5D8B06DF" w14:textId="1D53236F" w:rsidR="00B54ADB" w:rsidRDefault="00B54ADB" w:rsidP="00B54ADB"/>
    <w:p w14:paraId="19831BB7" w14:textId="56B73AE1" w:rsidR="00B44BF8" w:rsidRDefault="00B44BF8" w:rsidP="00B44BF8">
      <w:pPr>
        <w:pStyle w:val="Heading2"/>
      </w:pPr>
      <w:bookmarkStart w:id="53" w:name="_Toc113806135"/>
      <w:r>
        <w:t>Text Readability</w:t>
      </w:r>
      <w:bookmarkEnd w:id="53"/>
    </w:p>
    <w:p w14:paraId="56195538" w14:textId="77777777" w:rsidR="00B44BF8" w:rsidRDefault="00B44BF8" w:rsidP="00411E2D"/>
    <w:p w14:paraId="5AFDCFCA" w14:textId="1F31182E" w:rsidR="00B44BF8" w:rsidRDefault="00B44BF8" w:rsidP="00B44BF8">
      <w:r>
        <w:t>The originally Flesch Reading Ease Score will be used for its simplicity. Other factors were not included in the mix so as to avoid autocorrelation in the regression analysis.</w:t>
      </w:r>
      <w:r w:rsidR="00EB2635">
        <w:t xml:space="preserve"> As part of these metrics, lexical density is assessed. This represents the number of content words (e.g. ‘sustainability’ or ‘company’) vis-à-vis the number of grammatical words (e.g. ‘if’, ‘but’, or ‘will). A higher lexical density is interpreted as a higher </w:t>
      </w:r>
      <w:r w:rsidR="00EB2635">
        <w:lastRenderedPageBreak/>
        <w:t>textual complexity due to a higher conceptual load (Halliday, 1989; Harrison and Bakker, 1998).</w:t>
      </w:r>
    </w:p>
    <w:p w14:paraId="07C924DA" w14:textId="77777777" w:rsidR="00B44BF8" w:rsidRPr="00B54ADB" w:rsidRDefault="00B44BF8" w:rsidP="00B54ADB"/>
    <w:p w14:paraId="41A258B4" w14:textId="074FD5AD" w:rsidR="00112163" w:rsidRDefault="00112163" w:rsidP="0014085D">
      <w:pPr>
        <w:pStyle w:val="Heading2"/>
      </w:pPr>
      <w:bookmarkStart w:id="54" w:name="_Toc113806136"/>
      <w:r>
        <w:t xml:space="preserve">Models and </w:t>
      </w:r>
      <w:r w:rsidR="0014085D">
        <w:t>Approach</w:t>
      </w:r>
      <w:bookmarkEnd w:id="54"/>
    </w:p>
    <w:p w14:paraId="4D120762" w14:textId="6F438F1D" w:rsidR="0014085D" w:rsidRDefault="0014085D" w:rsidP="00112163">
      <w:r>
        <w:br w:type="page"/>
      </w:r>
    </w:p>
    <w:p w14:paraId="0A25D844" w14:textId="124CED6C" w:rsidR="0014085D" w:rsidRDefault="0014085D" w:rsidP="0014085D">
      <w:pPr>
        <w:pStyle w:val="Heading1"/>
      </w:pPr>
      <w:bookmarkStart w:id="55" w:name="_Toc113806137"/>
      <w:r>
        <w:lastRenderedPageBreak/>
        <w:t>Discussion and Results</w:t>
      </w:r>
      <w:bookmarkEnd w:id="55"/>
    </w:p>
    <w:p w14:paraId="2C3D1603" w14:textId="77777777" w:rsidR="0050713D" w:rsidRPr="0050713D" w:rsidRDefault="0050713D" w:rsidP="0050713D"/>
    <w:p w14:paraId="7BE3A559" w14:textId="432FA1D7" w:rsidR="0014085D" w:rsidRDefault="0014085D" w:rsidP="0014085D">
      <w:pPr>
        <w:pStyle w:val="Heading2"/>
      </w:pPr>
      <w:bookmarkStart w:id="56" w:name="_Toc113806138"/>
      <w:r>
        <w:t>Data Exploration</w:t>
      </w:r>
      <w:bookmarkEnd w:id="56"/>
    </w:p>
    <w:p w14:paraId="15607B77" w14:textId="316D4D36" w:rsidR="0014085D" w:rsidRDefault="0014085D" w:rsidP="0014085D"/>
    <w:p w14:paraId="4937E74F" w14:textId="62E12628" w:rsidR="0014085D" w:rsidRDefault="0014085D" w:rsidP="0014085D">
      <w:pPr>
        <w:pStyle w:val="Heading2"/>
      </w:pPr>
      <w:bookmarkStart w:id="57" w:name="_Toc113806139"/>
      <w:r>
        <w:t>Data Processing and Cleaning</w:t>
      </w:r>
      <w:bookmarkEnd w:id="57"/>
    </w:p>
    <w:p w14:paraId="7281C5D6" w14:textId="778FA5DD" w:rsidR="0014085D" w:rsidRDefault="0014085D" w:rsidP="0014085D"/>
    <w:p w14:paraId="5CDB0AB1" w14:textId="2A831B9A" w:rsidR="0014085D" w:rsidRDefault="0014085D" w:rsidP="0014085D">
      <w:pPr>
        <w:pStyle w:val="Heading2"/>
      </w:pPr>
      <w:bookmarkStart w:id="58" w:name="_Toc113806140"/>
      <w:r>
        <w:t>Interpreting Regression Results</w:t>
      </w:r>
      <w:bookmarkEnd w:id="58"/>
    </w:p>
    <w:p w14:paraId="02C6B5AC" w14:textId="1C3428FB" w:rsidR="004D549F" w:rsidRDefault="004D549F" w:rsidP="004D549F"/>
    <w:p w14:paraId="23E4D156" w14:textId="77777777" w:rsidR="004D549F" w:rsidRDefault="004D549F">
      <w:pPr>
        <w:spacing w:after="160" w:line="259" w:lineRule="auto"/>
        <w:jc w:val="left"/>
        <w:rPr>
          <w:b/>
          <w:bCs/>
          <w:sz w:val="32"/>
          <w:szCs w:val="32"/>
        </w:rPr>
      </w:pPr>
      <w:r>
        <w:br w:type="page"/>
      </w:r>
    </w:p>
    <w:p w14:paraId="1814E015" w14:textId="4F56BA9D" w:rsidR="004D549F" w:rsidRDefault="004D549F" w:rsidP="004D549F">
      <w:pPr>
        <w:pStyle w:val="Heading1"/>
      </w:pPr>
      <w:bookmarkStart w:id="59" w:name="_Toc113806141"/>
      <w:r>
        <w:lastRenderedPageBreak/>
        <w:t>Conclusion</w:t>
      </w:r>
      <w:bookmarkEnd w:id="59"/>
    </w:p>
    <w:p w14:paraId="4D41F69F" w14:textId="0493726A" w:rsidR="009C68D0" w:rsidRDefault="009C68D0" w:rsidP="009C68D0"/>
    <w:p w14:paraId="2798FF9C" w14:textId="2C458A86" w:rsidR="00982D13" w:rsidRDefault="00982D13" w:rsidP="009C68D0">
      <w:r>
        <w:t xml:space="preserve">Perspective is key. </w:t>
      </w:r>
      <w:r w:rsidRPr="00982D13">
        <w:t>As long as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p>
    <w:p w14:paraId="23968448" w14:textId="77777777" w:rsidR="00982D13" w:rsidRDefault="00982D13" w:rsidP="009C68D0"/>
    <w:p w14:paraId="4DCC4D48" w14:textId="4FDDC5FE" w:rsidR="009C68D0" w:rsidRDefault="009C68D0" w:rsidP="009C68D0">
      <w:pPr>
        <w:pStyle w:val="Heading2"/>
      </w:pPr>
      <w:bookmarkStart w:id="60" w:name="_Toc113806142"/>
      <w:r>
        <w:t>Limitations</w:t>
      </w:r>
      <w:bookmarkEnd w:id="60"/>
    </w:p>
    <w:p w14:paraId="0A01805C" w14:textId="452D8300" w:rsidR="009C68D0" w:rsidRDefault="009C68D0" w:rsidP="009C68D0"/>
    <w:p w14:paraId="7E077CD3" w14:textId="642F464E" w:rsidR="009C68D0" w:rsidRDefault="009C68D0" w:rsidP="009C68D0">
      <w:r>
        <w:t>Similar to Rodgers et al. (20</w:t>
      </w:r>
      <w:r w:rsidR="00807C71">
        <w:t>1</w:t>
      </w:r>
      <w:r>
        <w:t>3), there was a limit on the number of companies analysed. Because of the smaller sample size, it was not possible to perform industry differentiation.</w:t>
      </w:r>
    </w:p>
    <w:p w14:paraId="6E65745A" w14:textId="77777777" w:rsidR="009C68D0" w:rsidRDefault="009C68D0" w:rsidP="009C68D0"/>
    <w:p w14:paraId="5BC693FD" w14:textId="5FAF85CE" w:rsidR="009C68D0" w:rsidRPr="009C68D0" w:rsidRDefault="009C68D0" w:rsidP="009C68D0">
      <w:pPr>
        <w:pStyle w:val="Heading2"/>
      </w:pPr>
      <w:bookmarkStart w:id="61" w:name="_Toc113806143"/>
      <w:r>
        <w:t>Future Studies</w:t>
      </w:r>
      <w:bookmarkEnd w:id="61"/>
    </w:p>
    <w:p w14:paraId="4C90114C" w14:textId="4DF47DB4" w:rsidR="004D549F" w:rsidRDefault="004D549F" w:rsidP="004D549F"/>
    <w:p w14:paraId="37874E37" w14:textId="5CD05611" w:rsidR="004D549F" w:rsidRDefault="004D549F">
      <w:pPr>
        <w:spacing w:after="160" w:line="259" w:lineRule="auto"/>
        <w:jc w:val="left"/>
      </w:pPr>
      <w:r>
        <w:br w:type="page"/>
      </w:r>
    </w:p>
    <w:p w14:paraId="3F82ABF5" w14:textId="69DA7B82" w:rsidR="004D549F" w:rsidRDefault="004D549F" w:rsidP="004D549F">
      <w:pPr>
        <w:pStyle w:val="Heading1"/>
      </w:pPr>
      <w:bookmarkStart w:id="62" w:name="_Toc113806144"/>
      <w:r>
        <w:lastRenderedPageBreak/>
        <w:t>References</w:t>
      </w:r>
      <w:bookmarkEnd w:id="62"/>
    </w:p>
    <w:p w14:paraId="7DC12388" w14:textId="77777777" w:rsidR="00713FE8" w:rsidRPr="00713FE8" w:rsidRDefault="00713FE8" w:rsidP="00713FE8"/>
    <w:p w14:paraId="48573B35" w14:textId="172B54EC"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7465A6AA" w14:textId="7AB7CC27" w:rsidR="00BF2057" w:rsidRDefault="00BF2057" w:rsidP="004D549F">
      <w:pPr>
        <w:spacing w:line="312" w:lineRule="auto"/>
      </w:pPr>
    </w:p>
    <w:p w14:paraId="781FF2DE" w14:textId="59A628AD" w:rsidR="00BF2057" w:rsidRDefault="00BF2057" w:rsidP="00BF2057">
      <w:pPr>
        <w:spacing w:line="312" w:lineRule="auto"/>
      </w:pPr>
      <w:r>
        <w:rPr>
          <w:rFonts w:hint="eastAsia"/>
        </w:rPr>
        <w:t>Arco</w:t>
      </w:r>
      <w:r>
        <w:rPr>
          <w:rFonts w:hint="eastAsia"/>
        </w:rPr>
        <w:t>‐</w:t>
      </w:r>
      <w:r>
        <w:rPr>
          <w:rFonts w:hint="eastAsia"/>
        </w:rPr>
        <w:t>Castro, L., L</w:t>
      </w:r>
      <w:r>
        <w:rPr>
          <w:rFonts w:hint="eastAsia"/>
        </w:rPr>
        <w:t>ó</w:t>
      </w:r>
      <w:r>
        <w:rPr>
          <w:rFonts w:hint="eastAsia"/>
        </w:rPr>
        <w:t>pez</w:t>
      </w:r>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r>
        <w:rPr>
          <w:rFonts w:hint="eastAsia"/>
        </w:rPr>
        <w:t>pez, M. C., &amp; Rodr</w:t>
      </w:r>
      <w:r>
        <w:rPr>
          <w:rFonts w:hint="eastAsia"/>
        </w:rPr>
        <w:t>í</w:t>
      </w:r>
      <w:r>
        <w:rPr>
          <w:rFonts w:hint="eastAsia"/>
        </w:rPr>
        <w:t>guez</w:t>
      </w:r>
      <w:r>
        <w:rPr>
          <w:rFonts w:hint="eastAsia"/>
        </w:rPr>
        <w:t>‐</w:t>
      </w:r>
      <w:r>
        <w:rPr>
          <w:rFonts w:hint="eastAsia"/>
        </w:rPr>
        <w:t>Ariza, L. (2020). How market value relates to corporate philanthropy and its assurance. The moderating effect of the</w:t>
      </w:r>
      <w:r>
        <w:t xml:space="preserve"> business sector. Business Ethics: A European Review, 29(2), 266-281.</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r w:rsidRPr="003A5FF4">
        <w:rPr>
          <w:rFonts w:hint="eastAsia"/>
        </w:rPr>
        <w:t>Caracuel,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2159E91D" w:rsidR="00E55A79" w:rsidRDefault="00E55A79" w:rsidP="00E55A79">
      <w:pPr>
        <w:spacing w:line="312" w:lineRule="auto"/>
      </w:pPr>
      <w:r>
        <w:t>Aravindan, A. (2021, December 15). Singapore Exchange to mandates climate, board diversity disclosures. Reuters. https://www.reuters.com/business/sustainable-business/singapore-exchangemandates-climate-board-diversity-disclosures-2021-12-15/</w:t>
      </w:r>
    </w:p>
    <w:p w14:paraId="1150CBB0" w14:textId="7EFB7DEC" w:rsidR="00C14897" w:rsidRDefault="00C14897" w:rsidP="00E55A79">
      <w:pPr>
        <w:spacing w:line="312" w:lineRule="auto"/>
      </w:pPr>
    </w:p>
    <w:p w14:paraId="111AC3F1" w14:textId="0458FDBF" w:rsidR="00C14897" w:rsidRDefault="00C14897" w:rsidP="00E55A79">
      <w:pPr>
        <w:spacing w:line="312" w:lineRule="auto"/>
      </w:pPr>
      <w:r w:rsidRPr="00C14897">
        <w:t>Artiach, T., Lee, D., Nelson, D., &amp; Walker, J. (2010). The determinants of corporate sustainability performance. Accounting &amp; Finance, 50(1), 31-51.</w:t>
      </w:r>
    </w:p>
    <w:p w14:paraId="12D616A8" w14:textId="77777777" w:rsidR="00AA6AD0" w:rsidRDefault="00AA6AD0" w:rsidP="004D549F">
      <w:pPr>
        <w:spacing w:line="312" w:lineRule="auto"/>
      </w:pPr>
    </w:p>
    <w:p w14:paraId="5D7744DB" w14:textId="005CEDA9" w:rsidR="00AA6AD0" w:rsidRDefault="00AA6AD0" w:rsidP="004D549F">
      <w:pPr>
        <w:spacing w:line="312" w:lineRule="auto"/>
      </w:pPr>
      <w:r w:rsidRPr="00AA6AD0">
        <w:lastRenderedPageBreak/>
        <w:t>Back, B., Toivonen, J., Vanharanta, H., &amp; Visa, A. (2001). Comparing numerical data and text information from annual reports using self-organizing maps. International journal of accounting information systems, 2(4), 249-269.</w:t>
      </w:r>
    </w:p>
    <w:p w14:paraId="08162FE9" w14:textId="5638A402" w:rsidR="006F4C13" w:rsidRDefault="006F4C13" w:rsidP="004D549F">
      <w:pPr>
        <w:spacing w:line="312" w:lineRule="auto"/>
      </w:pPr>
    </w:p>
    <w:p w14:paraId="55F8C8F1" w14:textId="7EC64D39" w:rsidR="006F4C13" w:rsidRDefault="006F4C13" w:rsidP="004D549F">
      <w:pPr>
        <w:spacing w:line="312" w:lineRule="auto"/>
      </w:pPr>
      <w:r w:rsidRPr="006F4C13">
        <w:t>Backhaus, K. B., Stone, B. A., &amp; Heiner, K. (2002). Exploring the relationship between corporate social performance and employer attractiveness. Business &amp; Society, 41(3), 292-318.</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42A225D9"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6192C0AF" w14:textId="55F6E505" w:rsidR="00C14897" w:rsidRDefault="00C14897" w:rsidP="004D549F">
      <w:pPr>
        <w:spacing w:line="312" w:lineRule="auto"/>
      </w:pPr>
    </w:p>
    <w:p w14:paraId="7BBCDCC9" w14:textId="778E33B9" w:rsidR="00C14897" w:rsidRDefault="00C14897" w:rsidP="004D549F">
      <w:pPr>
        <w:spacing w:line="312" w:lineRule="auto"/>
      </w:pPr>
      <w:r w:rsidRPr="00C14897">
        <w:t>Basel Committee on Banking Supervision. (2015). Guidelines corporate governance principles for banks. Bank for International Settlements, 1.</w:t>
      </w:r>
    </w:p>
    <w:p w14:paraId="25634A9A" w14:textId="6D31BC4D" w:rsidR="00516148" w:rsidRDefault="00516148" w:rsidP="004D549F">
      <w:pPr>
        <w:spacing w:line="312" w:lineRule="auto"/>
      </w:pPr>
    </w:p>
    <w:p w14:paraId="2811C551" w14:textId="6DE51432" w:rsidR="00516148" w:rsidRDefault="00516148" w:rsidP="00516148">
      <w:pPr>
        <w:spacing w:line="312" w:lineRule="auto"/>
      </w:pPr>
      <w:r>
        <w:t>Berman, S. L., Wicks, A. C., Kotha, S., &amp; Jones, T. M. (1999). Does stakeholder orientation matter? The relationship between stakeholder management models and firm financial performance. Academy of Management journal, 42(5), 488-506.</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Bird, S., Klein, E., &amp; Loper, E. (2009). Natural language processing with Python: analyzing text with the natural language toolkit. " O&amp;#x27;Reilly Media, Inc."</w:t>
      </w:r>
    </w:p>
    <w:p w14:paraId="62AB5B50" w14:textId="015CAC63" w:rsidR="00E209D5" w:rsidRDefault="00E209D5"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Bogert, J. (1985). In defense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r>
        <w:t>Boiral, O. (2013). Sustainability reports as simulacra? A counter-account of A and A+ GRI</w:t>
      </w:r>
    </w:p>
    <w:p w14:paraId="77947BD0" w14:textId="77777777" w:rsidR="00E209D5" w:rsidRDefault="00E209D5" w:rsidP="00E209D5">
      <w:pPr>
        <w:spacing w:line="312" w:lineRule="auto"/>
      </w:pPr>
      <w:r>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lastRenderedPageBreak/>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Bowen, K. J., Cradock-Henry, N. A., Koch, F., Patterson, J., Häyhä, T., Vogt, J., &amp; Barbi, F. (2017). Implementing the “Sustainable Development Goals”: towards addressing three key governance</w:t>
      </w:r>
    </w:p>
    <w:p w14:paraId="5C206F86" w14:textId="2FACA253" w:rsidR="004D549F" w:rsidRDefault="004D549F" w:rsidP="004D549F">
      <w:pPr>
        <w:spacing w:line="312" w:lineRule="auto"/>
      </w:pPr>
    </w:p>
    <w:p w14:paraId="6EECEC93" w14:textId="1BCDB03A"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3CEE6B06" w14:textId="218CA9BC" w:rsidR="00BF2057" w:rsidRDefault="00BF2057" w:rsidP="000327D2">
      <w:pPr>
        <w:spacing w:line="312" w:lineRule="auto"/>
      </w:pPr>
    </w:p>
    <w:p w14:paraId="2C5861FF" w14:textId="35BFAC9F" w:rsidR="00BF2057" w:rsidRDefault="00BF2057" w:rsidP="000327D2">
      <w:pPr>
        <w:spacing w:line="312" w:lineRule="auto"/>
      </w:pPr>
      <w:r w:rsidRPr="00BF2057">
        <w:t>Brogi, M., &amp; Lagasio, V. (2019). Environmental, social, and governance and company profitability: Are financial intermediaries different?. Corporate Social Responsibility and Environmental Management, 26(3), 576-587.</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7291777C" w:rsidR="00433B08" w:rsidRDefault="00433B08" w:rsidP="000327D2">
      <w:pPr>
        <w:spacing w:line="312" w:lineRule="auto"/>
      </w:pPr>
      <w:r w:rsidRPr="00433B08">
        <w:t>Butler, M., &amp; Kešelj, V. (2009, May). Financial forecasting using character n-gram analysis and readability scores of annual reports. In Canadian Conference on Artificial Intelligence (pp. 39-51). Springer, Berlin, Heidelberg.</w:t>
      </w:r>
    </w:p>
    <w:p w14:paraId="51A1C90E" w14:textId="46AB0569" w:rsidR="00BF2057" w:rsidRDefault="00BF2057" w:rsidP="000327D2">
      <w:pPr>
        <w:spacing w:line="312" w:lineRule="auto"/>
      </w:pPr>
    </w:p>
    <w:p w14:paraId="29FB797E" w14:textId="3C27EB45" w:rsidR="00BF2057" w:rsidRDefault="00BF2057" w:rsidP="000327D2">
      <w:pPr>
        <w:spacing w:line="312" w:lineRule="auto"/>
      </w:pPr>
      <w:r w:rsidRPr="00BF2057">
        <w:t>Carroll, A. B., &amp; Shabana, K. M. (2010). The business case for corporate social responsibility: A review of concepts, research and practice. International journal of management reviews, 12(1), 85-105.</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3C7F9DB9" w:rsidR="004D549F" w:rsidRDefault="004D549F" w:rsidP="004D549F">
      <w:pPr>
        <w:spacing w:line="312" w:lineRule="auto"/>
      </w:pPr>
      <w:r w:rsidRPr="00807C41">
        <w:t xml:space="preserve">Chia K. H., Wee, E. (2021, December 28). Enhanced disclosures on climate-related information &amp; board diversity policy for SGX-listed companies. Lexology. Retrieved </w:t>
      </w:r>
      <w:r w:rsidRPr="00807C41">
        <w:lastRenderedPageBreak/>
        <w:t xml:space="preserve">from </w:t>
      </w:r>
      <w:hyperlink r:id="rId28"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Chin, W. W. 1998. Issues and opinion on structural equation modeling.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Chin, W. W., B. L. Marcolin,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Ching, H. Y., Gerab,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154397D" w:rsidR="004D549F" w:rsidRDefault="004D549F" w:rsidP="004D549F">
      <w:pPr>
        <w:spacing w:line="312" w:lineRule="auto"/>
      </w:pPr>
      <w:r w:rsidRPr="00807C41">
        <w:t>Cho, C. H., &amp; Patten, D. M. (2007). The role of environmental disclosures as tools of legitimacy: A research note. Accounting, organizations and society, 32(7-8), 639-647.</w:t>
      </w:r>
    </w:p>
    <w:p w14:paraId="472E575D" w14:textId="57DA5470" w:rsidR="00BF2057" w:rsidRDefault="00BF2057" w:rsidP="004D549F">
      <w:pPr>
        <w:spacing w:line="312" w:lineRule="auto"/>
      </w:pPr>
    </w:p>
    <w:p w14:paraId="6DE63BBB" w14:textId="100FA478" w:rsidR="00BF2057" w:rsidRPr="00807C41" w:rsidRDefault="00BF2057" w:rsidP="004D549F">
      <w:pPr>
        <w:spacing w:line="312" w:lineRule="auto"/>
      </w:pPr>
      <w:r w:rsidRPr="00BF2057">
        <w:t>Chowdhury, R. H., Choi, S., Ennis, S., &amp; Chung, D. (2019). Which dimension of corporate social responsibility is a value driver in the oil and gas industry?. Canadian Journal of Administrative Sciences/Revue Canadienne des Sciences de l'Administration, 36(2), 260-272.</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Clarkson, P. M., Li, Y., Richardson, G. D., &amp; Vasvari, F. P. (2008). Revisiting the relation between environmental performance and environmental disclosure: An empirical analysis. Accounting, organizations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lastRenderedPageBreak/>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r w:rsidRPr="00D544DC">
        <w:t>Conneau, A., Kiela, D., Schwenk, H., Barrault, L., &amp; Bordes, A. (2017). Supervised learning of universal sentence representations from natural language inference data. arXiv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Connelly, B. L., Certo, S. T., Ireland, R. D., &amp; Reutzel, C. R. (2011). Signaling theory: A review and assessment. Journal of management, 37(1), 39-67.</w:t>
      </w:r>
    </w:p>
    <w:p w14:paraId="37A84D9C" w14:textId="77777777" w:rsidR="004D549F" w:rsidRPr="00807C41" w:rsidRDefault="004D549F" w:rsidP="004D549F">
      <w:pPr>
        <w:spacing w:line="312" w:lineRule="auto"/>
      </w:pPr>
    </w:p>
    <w:p w14:paraId="4EB61F6E" w14:textId="6B1A10E5" w:rsidR="004D549F" w:rsidRDefault="004D549F" w:rsidP="004D549F">
      <w:pPr>
        <w:spacing w:line="312" w:lineRule="auto"/>
      </w:pPr>
      <w:r w:rsidRPr="00807C41">
        <w:t>Cormier, D., Magnan, M., &amp; Van Velthoven, B. (2005). Environmental disclosure quality in large German companies: economic incentives, public pressures or institutional conditions?. European accounting review, 14(1), 3-39.</w:t>
      </w:r>
    </w:p>
    <w:p w14:paraId="62071AA6" w14:textId="45963D14" w:rsidR="00BF2057" w:rsidRDefault="00BF2057" w:rsidP="004D549F">
      <w:pPr>
        <w:spacing w:line="312" w:lineRule="auto"/>
      </w:pPr>
    </w:p>
    <w:p w14:paraId="2FB1FBE3" w14:textId="39095E30" w:rsidR="00BF2057" w:rsidRDefault="00BF2057" w:rsidP="004D549F">
      <w:pPr>
        <w:spacing w:line="312" w:lineRule="auto"/>
      </w:pPr>
      <w:r w:rsidRPr="00BF2057">
        <w:t>Cornelius, N., Wallace, J., &amp; Tassabehji, R. (2007). An analysis of corporate social responsibility, corporate identity and ethics teaching in business schools. Journal of Business Ethics, 76(1), 117-135.</w:t>
      </w:r>
    </w:p>
    <w:p w14:paraId="1925FB3A" w14:textId="6123B124" w:rsidR="001210A8" w:rsidRDefault="001210A8" w:rsidP="004D549F">
      <w:pPr>
        <w:spacing w:line="312" w:lineRule="auto"/>
      </w:pPr>
    </w:p>
    <w:p w14:paraId="314FA073" w14:textId="3C40FFD3" w:rsidR="001210A8" w:rsidRDefault="001210A8" w:rsidP="004D549F">
      <w:pPr>
        <w:spacing w:line="312" w:lineRule="auto"/>
      </w:pPr>
      <w:r w:rsidRPr="001210A8">
        <w:t>Cöster,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05A7F0F1" w:rsidR="00E209D5" w:rsidRDefault="00E209D5" w:rsidP="004D549F">
      <w:pPr>
        <w:spacing w:line="312" w:lineRule="auto"/>
      </w:pPr>
      <w:r w:rsidRPr="00E209D5">
        <w:t>Courtis, J. K. (1998). Annual report readability variability: tests of the obfuscation hypothesis. Accounting, Auditing &amp; Accountability Journal.</w:t>
      </w:r>
    </w:p>
    <w:p w14:paraId="16D30261" w14:textId="380EF8E3" w:rsidR="00BF2057" w:rsidRDefault="00BF2057" w:rsidP="004D549F">
      <w:pPr>
        <w:spacing w:line="312" w:lineRule="auto"/>
      </w:pPr>
    </w:p>
    <w:p w14:paraId="316EF867" w14:textId="61EC9DD1" w:rsidR="00BF2057" w:rsidRDefault="00BF2057" w:rsidP="004D549F">
      <w:pPr>
        <w:spacing w:line="312" w:lineRule="auto"/>
      </w:pPr>
      <w:r w:rsidRPr="00BF2057">
        <w:t>Cupertino, S., Consolandi, C., &amp; Vercelli, A. (2019). Corporate social performance, financialization, and real investment in US manufacturing firms. Sustainability, 11(7), 1836.</w:t>
      </w:r>
    </w:p>
    <w:p w14:paraId="193B342A" w14:textId="0F4CFD1D" w:rsidR="00F075BA" w:rsidRDefault="00F075BA" w:rsidP="004D549F">
      <w:pPr>
        <w:spacing w:line="312" w:lineRule="auto"/>
      </w:pPr>
    </w:p>
    <w:p w14:paraId="1796EA73" w14:textId="278ACB68" w:rsidR="00F075BA" w:rsidRDefault="00F075BA" w:rsidP="00F075BA">
      <w:pPr>
        <w:spacing w:line="312" w:lineRule="auto"/>
      </w:pPr>
      <w:r w:rsidRPr="00BF2057">
        <w:rPr>
          <w:highlight w:val="lightGray"/>
        </w:rPr>
        <w:t>Dahlsrud,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lastRenderedPageBreak/>
        <w:t>Dangelico, R. M., &amp; Pontrandolfo,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25122111" w:rsidR="00401124" w:rsidRDefault="00401124" w:rsidP="004D549F">
      <w:pPr>
        <w:spacing w:line="312" w:lineRule="auto"/>
      </w:pPr>
      <w:r w:rsidRPr="00401124">
        <w:t>Delmas, M., &amp; Toffel, M. W. (2004). Stakeholders and environmental management practices: An institutional framework. Business Strategy and the Environment, 13, 2009–2222.</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Devlin, J., Chang, M. W., Lee, K., &amp; Toutanova, K. (2018). Bert: Pre-training of deep bidirectional transformers for language understanding. arXiv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lastRenderedPageBreak/>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7EB1F627" w:rsidR="004B7FBB" w:rsidRDefault="004B7FBB" w:rsidP="004D549F">
      <w:pPr>
        <w:spacing w:line="312" w:lineRule="auto"/>
      </w:pPr>
      <w:r w:rsidRPr="004B7FBB">
        <w:t>Fatoki, O. (2019). Green entrepreneurial orientation and firm performance in South Africa. Entrepreneurship and Sustainability Issues, 7(1), 247.</w:t>
      </w:r>
    </w:p>
    <w:p w14:paraId="0E328A2A" w14:textId="43EB2408" w:rsidR="00C760B0" w:rsidRDefault="00C760B0" w:rsidP="004D549F">
      <w:pPr>
        <w:spacing w:line="312" w:lineRule="auto"/>
      </w:pPr>
    </w:p>
    <w:p w14:paraId="2ED21848" w14:textId="0A015CD6" w:rsidR="00C760B0" w:rsidRDefault="00C760B0" w:rsidP="004D549F">
      <w:pPr>
        <w:spacing w:line="312" w:lineRule="auto"/>
      </w:pPr>
      <w:r w:rsidRPr="00C760B0">
        <w:t>Fisher, I. E., Garnsey, M. R., &amp; Hughes, M. E. (2016). Natural language processing in accounting, auditing and finance: A synthesis of the literature with a roadmap for future research. Intelligent Systems in Accounting, Finance and Management, 23(3), 157-214.</w:t>
      </w:r>
    </w:p>
    <w:p w14:paraId="7153466C" w14:textId="22C17E6B" w:rsidR="006F4C13" w:rsidRDefault="006F4C13" w:rsidP="004D549F">
      <w:pPr>
        <w:spacing w:line="312" w:lineRule="auto"/>
      </w:pPr>
    </w:p>
    <w:p w14:paraId="741B98F9" w14:textId="7EDAED56" w:rsidR="006F4C13" w:rsidRDefault="006F4C13" w:rsidP="004D549F">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1D482C8D" w:rsidR="00BF4B82" w:rsidRDefault="00BF4B82" w:rsidP="004D549F">
      <w:pPr>
        <w:spacing w:line="312" w:lineRule="auto"/>
      </w:pPr>
      <w:r w:rsidRPr="00BF4B82">
        <w:t>Freundlieb,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74E1D677" w14:textId="16ED8ABE" w:rsidR="00C14897" w:rsidRDefault="00C14897" w:rsidP="004D549F">
      <w:pPr>
        <w:spacing w:line="312" w:lineRule="auto"/>
      </w:pPr>
    </w:p>
    <w:p w14:paraId="31F06A13" w14:textId="30DE7B2D" w:rsidR="00C14897" w:rsidRDefault="00C14897" w:rsidP="004D549F">
      <w:pPr>
        <w:spacing w:line="312" w:lineRule="auto"/>
      </w:pPr>
      <w:r w:rsidRPr="00C14897">
        <w:t>Friedman, M. (1970), “The social responsibility of business is to increase its profits,” New York Times Magazine, 32(13), 122-126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FSB TFCD (2017). Final report: recommendations of the task force on climate-related financial disclosures. Financial Stability Board Task Force on Climate-Related Disclosures. Retrieved from https://www.fsb-tcfd.org/recommendations/ on 2022, Jul 24.</w:t>
      </w:r>
    </w:p>
    <w:p w14:paraId="5D0F9ED1" w14:textId="77777777" w:rsidR="004D549F" w:rsidRPr="00807C41" w:rsidRDefault="004D549F" w:rsidP="004D549F">
      <w:pPr>
        <w:spacing w:line="312" w:lineRule="auto"/>
      </w:pPr>
    </w:p>
    <w:p w14:paraId="3B4C9AC2" w14:textId="4C9519D4" w:rsidR="004D549F" w:rsidRDefault="004D549F" w:rsidP="004D549F">
      <w:pPr>
        <w:spacing w:line="312" w:lineRule="auto"/>
      </w:pPr>
      <w:r w:rsidRPr="00807C41">
        <w:t>Galani, D., Gravas, E., &amp; Stavropoulos, A. (2012). Company characteristics and environmental policy. Business Strategy and the Environment, 21(4), 236-247.</w:t>
      </w:r>
    </w:p>
    <w:p w14:paraId="0F0CCA69" w14:textId="78BDE34D" w:rsidR="00C14897" w:rsidRDefault="00C14897" w:rsidP="004D549F">
      <w:pPr>
        <w:spacing w:line="312" w:lineRule="auto"/>
      </w:pPr>
    </w:p>
    <w:p w14:paraId="27C5F3EA" w14:textId="1435E0FC" w:rsidR="00C14897" w:rsidRDefault="00C14897" w:rsidP="00C14897">
      <w:pPr>
        <w:spacing w:line="312" w:lineRule="auto"/>
      </w:pPr>
      <w:r>
        <w:rPr>
          <w:rFonts w:hint="eastAsia"/>
        </w:rPr>
        <w:lastRenderedPageBreak/>
        <w:t>Garc</w:t>
      </w:r>
      <w:r>
        <w:rPr>
          <w:rFonts w:hint="eastAsia"/>
        </w:rPr>
        <w:t>í</w:t>
      </w:r>
      <w:r>
        <w:rPr>
          <w:rFonts w:hint="eastAsia"/>
        </w:rPr>
        <w:t>a</w:t>
      </w:r>
      <w:r>
        <w:rPr>
          <w:rFonts w:hint="eastAsia"/>
        </w:rPr>
        <w:t>‐</w:t>
      </w:r>
      <w:r>
        <w:rPr>
          <w:rFonts w:hint="eastAsia"/>
        </w:rPr>
        <w:t>S</w:t>
      </w:r>
      <w:r>
        <w:rPr>
          <w:rFonts w:hint="eastAsia"/>
        </w:rPr>
        <w:t>á</w:t>
      </w:r>
      <w:r>
        <w:rPr>
          <w:rFonts w:hint="eastAsia"/>
        </w:rPr>
        <w:t>nchez, I. M., Mart</w:t>
      </w:r>
      <w:r>
        <w:rPr>
          <w:rFonts w:hint="eastAsia"/>
        </w:rPr>
        <w:t>í</w:t>
      </w:r>
      <w:r>
        <w:rPr>
          <w:rFonts w:hint="eastAsia"/>
        </w:rPr>
        <w:t>nez</w:t>
      </w:r>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Accounting Review, 28(3), 428-445.</w:t>
      </w:r>
    </w:p>
    <w:p w14:paraId="36CE8E32" w14:textId="2D31E803" w:rsidR="00433B08" w:rsidRDefault="00433B08" w:rsidP="004D549F">
      <w:pPr>
        <w:spacing w:line="312" w:lineRule="auto"/>
      </w:pPr>
    </w:p>
    <w:p w14:paraId="6E9E7861" w14:textId="1464E996" w:rsidR="00433B08" w:rsidRDefault="00433B08" w:rsidP="004D549F">
      <w:pPr>
        <w:spacing w:line="312" w:lineRule="auto"/>
      </w:pPr>
      <w:r w:rsidRPr="00433B08">
        <w:t>Goel, S., Gangolly, J., Faerman, S. R., &amp; Uzuner, O. (2010). Can linguistic predictors detect fraudulent financial filings?. Journal of Emerging Technologies in Accounting, 7(1), 25-46.</w:t>
      </w:r>
    </w:p>
    <w:p w14:paraId="7E61E685" w14:textId="0CD58404" w:rsidR="00BF2057" w:rsidRDefault="00BF2057" w:rsidP="004D549F">
      <w:pPr>
        <w:spacing w:line="312" w:lineRule="auto"/>
      </w:pPr>
    </w:p>
    <w:p w14:paraId="76363F21" w14:textId="2C68EDE0" w:rsidR="00BF2057" w:rsidRDefault="00BF2057" w:rsidP="004D549F">
      <w:pPr>
        <w:spacing w:line="312" w:lineRule="auto"/>
      </w:pPr>
      <w:r w:rsidRPr="00BF2057">
        <w:t>Gomez-Carrasco, P., Guillamon-Saorin, E., &amp; Osma, B. G. (2016). The illusion of CSR: Drawing the line between core and supplementary CSR. Sustainability Accounting, Management and Policy Journal.</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r>
        <w:t xml:space="preserve">on 2022, Jul 27 </w:t>
      </w:r>
      <w:r w:rsidRPr="00552166">
        <w:t>from  https://www.globalreporting.org/resourcelibrary/GRIAn-introduction-to-G4.pdf</w:t>
      </w:r>
    </w:p>
    <w:p w14:paraId="03D8610D" w14:textId="55BDA04C" w:rsidR="00B44BF8" w:rsidRDefault="00B44BF8" w:rsidP="004D549F">
      <w:pPr>
        <w:spacing w:line="312" w:lineRule="auto"/>
      </w:pPr>
    </w:p>
    <w:p w14:paraId="66BB5A26" w14:textId="3773FE41" w:rsidR="007B6CD1" w:rsidRDefault="007B6CD1" w:rsidP="004D549F">
      <w:pPr>
        <w:spacing w:line="312" w:lineRule="auto"/>
      </w:pPr>
      <w:r w:rsidRPr="007B6CD1">
        <w:t>Greening, D. W., &amp; Turban, D. B. (2000). Corporate social performance as a competitive advantage in attracting a quality workforce. Business &amp; society, 39(3), 254-280.</w:t>
      </w:r>
    </w:p>
    <w:p w14:paraId="56A19FFA" w14:textId="77777777" w:rsidR="007B6CD1" w:rsidRDefault="007B6CD1"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1F0CD995" w:rsidR="00EB2635" w:rsidRDefault="00EB2635" w:rsidP="00EB2635">
      <w:pPr>
        <w:spacing w:line="312" w:lineRule="auto"/>
      </w:pPr>
    </w:p>
    <w:p w14:paraId="4B03E1ED" w14:textId="49D8D447" w:rsidR="00C14897" w:rsidRDefault="00C14897" w:rsidP="00EB2635">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49E78FCF" w14:textId="77777777" w:rsidR="00C14897" w:rsidRDefault="00C14897"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r w:rsidRPr="00515638">
        <w:t>Harymawan, I., Nasih, M., Ratri, M. C., Soeprajitno,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Henry, E. (2008). Are investors influenced by how earnings press releases are written?. The Journal of Business Communication (1973), 45(4), 363-407.</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r w:rsidRPr="00807C41">
        <w:t>Hooghiemstra, R. (2000). Corporate communication and impression management–new perspectives why companies engage in corporate social reporting. Journal of business ethics, 27(1), 55-68.</w:t>
      </w:r>
    </w:p>
    <w:p w14:paraId="41A6B6C8" w14:textId="33BF0015" w:rsidR="00E209D5" w:rsidRDefault="00E209D5" w:rsidP="004D549F">
      <w:pPr>
        <w:spacing w:line="312" w:lineRule="auto"/>
      </w:pPr>
    </w:p>
    <w:p w14:paraId="4172EEE9" w14:textId="6F704D92" w:rsidR="00E209D5" w:rsidRDefault="00E209D5" w:rsidP="004D549F">
      <w:pPr>
        <w:spacing w:line="312" w:lineRule="auto"/>
      </w:pPr>
      <w:r w:rsidRPr="00E209D5">
        <w:t>Hrasky, S. (2012). Visual disclosure strategies adopted by more and less sustainability-driven companies. Accounting Forum, 36, 154-165. doi:10.1016/j.accfor.2012.02.001</w:t>
      </w:r>
    </w:p>
    <w:p w14:paraId="37938060" w14:textId="39FA86A7" w:rsidR="00685387" w:rsidRDefault="00685387" w:rsidP="004D549F">
      <w:pPr>
        <w:spacing w:line="312" w:lineRule="auto"/>
      </w:pPr>
    </w:p>
    <w:p w14:paraId="07DB8FE8" w14:textId="77777777" w:rsidR="00C14897" w:rsidRPr="00807C41" w:rsidRDefault="00C14897" w:rsidP="00C14897">
      <w:pPr>
        <w:spacing w:line="312" w:lineRule="auto"/>
      </w:pPr>
      <w:r w:rsidRPr="00625E23">
        <w:rPr>
          <w:rFonts w:hint="eastAsia"/>
        </w:rPr>
        <w:t>Huang, C.</w:t>
      </w:r>
      <w:r w:rsidRPr="00625E23">
        <w:rPr>
          <w:rFonts w:hint="eastAsia"/>
        </w:rPr>
        <w:t>‐</w:t>
      </w:r>
      <w:r w:rsidRPr="00625E23">
        <w:rPr>
          <w:rFonts w:hint="eastAsia"/>
        </w:rPr>
        <w:t>L., &amp; Kung, F.</w:t>
      </w:r>
      <w:r w:rsidRPr="00625E23">
        <w:rPr>
          <w:rFonts w:hint="eastAsia"/>
        </w:rPr>
        <w:t>‐</w:t>
      </w:r>
      <w:r w:rsidRPr="00625E23">
        <w:rPr>
          <w:rFonts w:hint="eastAsia"/>
        </w:rPr>
        <w:t>H. (2010). Drivers of environmental disclosure and stakeholder expectation: Evidence from Taiwan. Journal of Business Ethics, 96, 435</w:t>
      </w:r>
      <w:r w:rsidRPr="00625E23">
        <w:rPr>
          <w:rFonts w:hint="eastAsia"/>
        </w:rPr>
        <w:t>–</w:t>
      </w:r>
      <w:r w:rsidRPr="00625E23">
        <w:rPr>
          <w:rFonts w:hint="eastAsia"/>
        </w:rPr>
        <w:t>451.</w:t>
      </w:r>
    </w:p>
    <w:p w14:paraId="0D2C78FF" w14:textId="77777777" w:rsidR="00C14897" w:rsidRPr="00807C41" w:rsidRDefault="00C14897" w:rsidP="00C14897">
      <w:pPr>
        <w:spacing w:line="312" w:lineRule="auto"/>
      </w:pPr>
    </w:p>
    <w:p w14:paraId="7E2A8D93" w14:textId="77777777" w:rsidR="00C14897" w:rsidRPr="00807C41" w:rsidRDefault="00C14897" w:rsidP="00C14897">
      <w:pPr>
        <w:spacing w:line="312" w:lineRule="auto"/>
      </w:pPr>
      <w:r w:rsidRPr="00807C41">
        <w:t xml:space="preserve">Huang, C. (2022). Investors can check Singapore companies' climate disclosures with new ESG portal. The Straits Times. Retrieved 25 July 2022, from </w:t>
      </w:r>
      <w:hyperlink r:id="rId29" w:history="1">
        <w:r w:rsidRPr="00807C41">
          <w:rPr>
            <w:rStyle w:val="Hyperlink"/>
          </w:rPr>
          <w:t>https://www.straitstimes.com/business/companies-markets/investors-can-check-singapore-companies-climate-disclosures-with-new-esg-portal</w:t>
        </w:r>
      </w:hyperlink>
      <w:r w:rsidRPr="00807C41">
        <w:t>.</w:t>
      </w:r>
    </w:p>
    <w:p w14:paraId="7FFA2215" w14:textId="77777777" w:rsidR="00C14897" w:rsidRDefault="00C1489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1AB5AABF" w:rsidR="002822AD" w:rsidRDefault="002822AD" w:rsidP="004D549F">
      <w:pPr>
        <w:spacing w:line="312" w:lineRule="auto"/>
      </w:pPr>
      <w:r w:rsidRPr="002822AD">
        <w:t>Ingram, R. W., &amp; Frazier, K. B. (1980). Environmental performance and corporate disclosure. Journal of accounting research, 614-622.</w:t>
      </w:r>
    </w:p>
    <w:p w14:paraId="466433BC" w14:textId="0D217EAE" w:rsidR="003915E3" w:rsidRDefault="003915E3" w:rsidP="004D549F">
      <w:pPr>
        <w:spacing w:line="312" w:lineRule="auto"/>
      </w:pPr>
    </w:p>
    <w:p w14:paraId="59058258" w14:textId="3058DF03" w:rsidR="003915E3" w:rsidRDefault="003915E3" w:rsidP="004D549F">
      <w:pPr>
        <w:spacing w:line="312" w:lineRule="auto"/>
      </w:pPr>
      <w:r w:rsidRPr="003915E3">
        <w:t>Jamali, D. (2008). A stakeholder approach to corporate social responsibility: A fresh perspective into theory and practice. Journal of business ethics, 82(1), 213-231.</w:t>
      </w:r>
    </w:p>
    <w:p w14:paraId="79654082" w14:textId="3C68B177" w:rsidR="00BF2057" w:rsidRDefault="00BF2057" w:rsidP="004D549F">
      <w:pPr>
        <w:spacing w:line="312" w:lineRule="auto"/>
      </w:pPr>
    </w:p>
    <w:p w14:paraId="176CEDFC" w14:textId="66DA8DAF" w:rsidR="00BF2057" w:rsidRPr="00807C41" w:rsidRDefault="00BF2057" w:rsidP="004D549F">
      <w:pPr>
        <w:spacing w:line="312" w:lineRule="auto"/>
      </w:pPr>
      <w:r w:rsidRPr="00BF2057">
        <w:t>Jenkins, R. (2009). 10 Corporate social responsibility. Handbook of economics and ethics, 69-77</w:t>
      </w:r>
    </w:p>
    <w:p w14:paraId="19A902BB" w14:textId="03DA858C" w:rsidR="00401124" w:rsidRDefault="00401124" w:rsidP="004D549F">
      <w:pPr>
        <w:spacing w:line="312" w:lineRule="auto"/>
      </w:pPr>
    </w:p>
    <w:p w14:paraId="7141F584" w14:textId="53FC67FD" w:rsidR="00401124" w:rsidRDefault="00401124" w:rsidP="004D549F">
      <w:pPr>
        <w:spacing w:line="312" w:lineRule="auto"/>
      </w:pPr>
      <w:r w:rsidRPr="00401124">
        <w:lastRenderedPageBreak/>
        <w:t>Jensen, J. C., &amp; Berg, N. (2012). Determinants of traditional sustainability reporting versus integrated reporting. An institutionalist approach. Business Strategy and the Environment, 21, 299–316.</w:t>
      </w:r>
    </w:p>
    <w:p w14:paraId="152E3D10" w14:textId="29E954B9" w:rsidR="00C14897" w:rsidRDefault="00C14897" w:rsidP="004D549F">
      <w:pPr>
        <w:spacing w:line="312" w:lineRule="auto"/>
      </w:pPr>
    </w:p>
    <w:p w14:paraId="776402BD" w14:textId="5A2B399B" w:rsidR="00C14897" w:rsidRDefault="00C14897" w:rsidP="004D549F">
      <w:pPr>
        <w:spacing w:line="312" w:lineRule="auto"/>
      </w:pPr>
      <w:r w:rsidRPr="00C14897">
        <w:t xml:space="preserve">Jin,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474DD643" w14:textId="102191D9" w:rsidR="00C14897" w:rsidRDefault="00C14897" w:rsidP="004D549F">
      <w:pPr>
        <w:spacing w:line="312" w:lineRule="auto"/>
      </w:pPr>
    </w:p>
    <w:p w14:paraId="72E4EC93" w14:textId="5E7A2463" w:rsidR="00C14897" w:rsidRPr="00807C41" w:rsidRDefault="00C14897" w:rsidP="004D549F">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Kang, H., &amp; Kim, J. (2022). Analyzing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r w:rsidRPr="00BF4B82">
        <w:t>Kasbun, N. F., Teh,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574946CF" w:rsidR="004D549F" w:rsidRDefault="004D549F" w:rsidP="004D549F">
      <w:pPr>
        <w:spacing w:line="312" w:lineRule="auto"/>
      </w:pPr>
      <w:r w:rsidRPr="00807C41">
        <w:t>Khaveh, A., Nikhasemi, S. R., Haque, A., &amp; Yousefi, A. (2012). Voluntary sustainability disclosure, revenue, and shareholders wealth-a perspective from Singaporean companies. Business Management Dynamics, 1(9), 06-12.</w:t>
      </w:r>
    </w:p>
    <w:p w14:paraId="312E57E7" w14:textId="59EF178D" w:rsidR="00C14897" w:rsidRDefault="00C14897" w:rsidP="004D549F">
      <w:pPr>
        <w:spacing w:line="312" w:lineRule="auto"/>
      </w:pPr>
    </w:p>
    <w:p w14:paraId="446765DF" w14:textId="49C7DC73" w:rsidR="00C14897" w:rsidRDefault="00C14897" w:rsidP="004D549F">
      <w:pPr>
        <w:spacing w:line="312" w:lineRule="auto"/>
      </w:pPr>
      <w:r w:rsidRPr="00C14897">
        <w:t>Kim. (2021). Current Status and direction of development of research on ESG management performance: Korea and China. Korean-Chinese Social Science Studies, 60, 64-83.</w:t>
      </w:r>
    </w:p>
    <w:p w14:paraId="1360FBC6" w14:textId="0AA7A629" w:rsidR="00516148" w:rsidRDefault="00516148" w:rsidP="004D549F">
      <w:pPr>
        <w:spacing w:line="312" w:lineRule="auto"/>
      </w:pPr>
    </w:p>
    <w:p w14:paraId="5C9E3475" w14:textId="5A20D029" w:rsidR="00516148" w:rsidRDefault="00516148" w:rsidP="004D549F">
      <w:pPr>
        <w:spacing w:line="312" w:lineRule="auto"/>
      </w:pPr>
      <w:r w:rsidRPr="00516148">
        <w:lastRenderedPageBreak/>
        <w:t>Kim and Park. (2021). ESG or CSR, and Corporation’s Financial Performance: Literature Review and Future Research. Journal of Strategic Management, 24(2), 75-114.</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Kincaid, J. P., Fishburne, R. P., Rogers, R. L., &amp; Chissom,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4EF397F2"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72190DA8" w14:textId="462DE017" w:rsidR="00516148" w:rsidRDefault="00516148" w:rsidP="004D549F">
      <w:pPr>
        <w:spacing w:line="312" w:lineRule="auto"/>
      </w:pPr>
    </w:p>
    <w:p w14:paraId="68FAA825" w14:textId="052B09C6" w:rsidR="00516148" w:rsidRDefault="00516148" w:rsidP="004D549F">
      <w:pPr>
        <w:spacing w:line="312" w:lineRule="auto"/>
      </w:pPr>
      <w:r w:rsidRPr="00516148">
        <w:t>Korea Exchange. (2021, November). ESG definition. APA Style. Retrieved November 20, 2021, from http://esg.krx.co.kr/contents/01/01010100/ESG01010100.jsp</w:t>
      </w:r>
    </w:p>
    <w:p w14:paraId="3F0153A3" w14:textId="30F2721A" w:rsidR="002822AD" w:rsidRDefault="002822AD" w:rsidP="004D549F">
      <w:pPr>
        <w:spacing w:line="312" w:lineRule="auto"/>
      </w:pPr>
    </w:p>
    <w:p w14:paraId="601019C6" w14:textId="4BBCE519"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28ADDE4E" w14:textId="3136113B" w:rsidR="00C14897" w:rsidRDefault="00C14897" w:rsidP="004D549F">
      <w:pPr>
        <w:spacing w:line="312" w:lineRule="auto"/>
      </w:pPr>
    </w:p>
    <w:p w14:paraId="023FD56F" w14:textId="13E6EE96" w:rsidR="00C14897" w:rsidRDefault="00C14897" w:rsidP="004D549F">
      <w:pPr>
        <w:spacing w:line="312" w:lineRule="auto"/>
      </w:pPr>
      <w:r w:rsidRPr="00C14897">
        <w:t>Kyaw, K., Olugbode, M., &amp; Petracci, B. (2017). Can board gender diversity promote corporate social performance?. Corporate Governance: The International Journal of Business in Society.</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Lan, Z., Chen, M., Goodman, S., Gimpel, K., Sharma, P., &amp; Soricut, R. (2019). Albert: A lite bert for self-supervised learning of language representations. arXiv preprint arXiv:1909.11942.</w:t>
      </w:r>
    </w:p>
    <w:p w14:paraId="45E90519" w14:textId="1775692D" w:rsidR="002822AD" w:rsidRDefault="002822AD" w:rsidP="004D549F">
      <w:pPr>
        <w:spacing w:line="312" w:lineRule="auto"/>
      </w:pPr>
    </w:p>
    <w:p w14:paraId="0E5095B4" w14:textId="7CE53027" w:rsidR="002822AD" w:rsidRDefault="002822AD" w:rsidP="004D549F">
      <w:pPr>
        <w:spacing w:line="312" w:lineRule="auto"/>
      </w:pPr>
      <w:r w:rsidRPr="002822AD">
        <w:t>Lawrence, A. (2013). Individual investors and financial disclosure. Journal of Accounting and Economics, 56(1), 130-147.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lastRenderedPageBreak/>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Li, J., Pike, R., &amp; Haniffa,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5A3615DF" w:rsidR="004F0C9E" w:rsidRDefault="004F0C9E" w:rsidP="004F0C9E">
      <w:pPr>
        <w:spacing w:line="312" w:lineRule="auto"/>
      </w:pPr>
      <w:r>
        <w:t>Lohmoller, J. B. 1989. Latent Variable Path Modeling with Partial Least Squares. Springer-Verlag, New</w:t>
      </w:r>
      <w:r w:rsidR="00733902">
        <w:t xml:space="preserve"> </w:t>
      </w:r>
      <w:r>
        <w:t>York.</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1A4C45">
        <w:t>Luccioni, A., Baylor, E., &amp; Duchene, N. (2020). Analyzing sustainability reports using natural language processing. arXiv preprint arXiv:2011.08073.</w:t>
      </w:r>
    </w:p>
    <w:p w14:paraId="0BE23897" w14:textId="00A1AAD6" w:rsidR="00E62C3D" w:rsidRDefault="00E62C3D" w:rsidP="004D549F">
      <w:pPr>
        <w:spacing w:line="312" w:lineRule="auto"/>
      </w:pPr>
    </w:p>
    <w:p w14:paraId="55238D23" w14:textId="5B582CA5" w:rsidR="00E62C3D" w:rsidRDefault="00E62C3D" w:rsidP="004D549F">
      <w:pPr>
        <w:spacing w:line="312" w:lineRule="auto"/>
      </w:pPr>
      <w:r w:rsidRPr="00E62C3D">
        <w:lastRenderedPageBreak/>
        <w:t>Matsui, T., Suzuki, K., Ando, K., Kitai, Y., Haga, C., Masuhara, N., &amp; Kawakubo, S. (2022). A natural language processing model for supporting sustainable development goals: translating semantics, visualizing nexus, and connecting stakeholders. Sustainability Science, 17(3), 969-985.</w:t>
      </w:r>
    </w:p>
    <w:p w14:paraId="60B596AC" w14:textId="3162316E" w:rsidR="00C14897" w:rsidRDefault="00C14897" w:rsidP="004D549F">
      <w:pPr>
        <w:spacing w:line="312" w:lineRule="auto"/>
      </w:pPr>
    </w:p>
    <w:p w14:paraId="1F0F26D9" w14:textId="4BCA186F" w:rsidR="00C14897" w:rsidRDefault="00C14897" w:rsidP="004D549F">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t>Meng, X. H., Zeng, S. X., &amp; Tam, C. M. (2013). From voluntarism to regulation: A study on ownership, economic performance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Michelon, G., Pilonato, S., &amp; Ricceri,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r>
        <w:t>Modapothala, J. R., &amp; Issac,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r>
        <w:t>Modapothala, J. R., Issac, B., &amp; Jayamani, E. (2010). Appraising the corporate sustainability reports–text mining and multi-discriminatory analysis. In Innovations in computing sciences and software engineering (pp. 489-494). Springer, Dordrecht.</w:t>
      </w:r>
    </w:p>
    <w:p w14:paraId="53E298FC" w14:textId="3713D862" w:rsidR="00D544DC" w:rsidRDefault="00D544DC" w:rsidP="004D549F">
      <w:pPr>
        <w:spacing w:line="312" w:lineRule="auto"/>
      </w:pPr>
    </w:p>
    <w:p w14:paraId="0F610378" w14:textId="4D18B1D3" w:rsidR="00D544DC" w:rsidRDefault="00D544DC" w:rsidP="004D549F">
      <w:pPr>
        <w:spacing w:line="312" w:lineRule="auto"/>
      </w:pPr>
      <w:r w:rsidRPr="00D544DC">
        <w:lastRenderedPageBreak/>
        <w:t>Mohammad, S. M. (2016). Sentiment analysis: Detecting valence, emotions, and other affectual states from text. In Emotion measurement (pp. 201-237). Woodhead Publishing.</w:t>
      </w:r>
    </w:p>
    <w:p w14:paraId="476ADB72" w14:textId="69717E8D" w:rsidR="00516148" w:rsidRDefault="00516148" w:rsidP="004D549F">
      <w:pPr>
        <w:spacing w:line="312" w:lineRule="auto"/>
      </w:pPr>
    </w:p>
    <w:p w14:paraId="4210D4C5" w14:textId="3A182477" w:rsidR="00516148" w:rsidRPr="00807C41" w:rsidRDefault="00516148" w:rsidP="004D549F">
      <w:pPr>
        <w:spacing w:line="312" w:lineRule="auto"/>
      </w:pPr>
      <w:r w:rsidRPr="00516148">
        <w:t>Morgan Stanley Capital International. (2021.November). What is ESG?. APA Style. Retrieved November 20, 2021, from https://www.msci.com/esg-101-what-is-esg</w:t>
      </w:r>
    </w:p>
    <w:p w14:paraId="439CFC0C" w14:textId="77777777" w:rsidR="004D549F" w:rsidRPr="00807C41" w:rsidRDefault="004D549F" w:rsidP="004D549F">
      <w:pPr>
        <w:spacing w:line="312" w:lineRule="auto"/>
      </w:pPr>
    </w:p>
    <w:p w14:paraId="787E2B60" w14:textId="78845C2B" w:rsidR="004D549F" w:rsidRDefault="004D549F" w:rsidP="004D549F">
      <w:pPr>
        <w:spacing w:line="312" w:lineRule="auto"/>
      </w:pPr>
      <w:r w:rsidRPr="00807C41">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1E4BE009" w:rsidR="004D549F" w:rsidRDefault="004D549F" w:rsidP="004D549F">
      <w:pPr>
        <w:spacing w:line="312" w:lineRule="auto"/>
      </w:pPr>
      <w:r w:rsidRPr="00807C41">
        <w:t>Oncioiu, I., Petrescu, A. G., Bîlcan, F. R., Petrescu, M., Popescu, D. M., &amp; Anghel, E. (2020). Corporate Sustainability Reporting and Financial Performance. Sustainability, 12(10), 4297.</w:t>
      </w:r>
    </w:p>
    <w:p w14:paraId="5FDE7DAD" w14:textId="75884FD4" w:rsidR="00BF2057" w:rsidRDefault="00BF2057" w:rsidP="004D549F">
      <w:pPr>
        <w:spacing w:line="312" w:lineRule="auto"/>
      </w:pPr>
    </w:p>
    <w:p w14:paraId="096B6D22" w14:textId="61AFF84C" w:rsidR="00BF2057" w:rsidRDefault="00BF2057" w:rsidP="004D549F">
      <w:pPr>
        <w:spacing w:line="312" w:lineRule="auto"/>
      </w:pPr>
      <w:r w:rsidRPr="00BF2057">
        <w:t>Orlitzky, M., Schmidt, F. L., &amp; Rynes, S. L. (2003). Corporate social and financial performance: A meta-analysis. Organization studies, 24(3), 403-441.</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Othman, I. W., Hasan, H., Tapsir, R., Rahman, N. A., Tarmuji, I., Majdi, S., ... &amp; Omar, N. (2012, September). Text readability and fraud detection. In 2012 IEEE Symposium on Business, Engineering and Industrial Applications (pp. 296-301). IEEE.</w:t>
      </w:r>
    </w:p>
    <w:p w14:paraId="53FD40DE" w14:textId="35AE6070" w:rsidR="00D544DC" w:rsidRDefault="00D544DC" w:rsidP="004D549F">
      <w:pPr>
        <w:spacing w:line="312" w:lineRule="auto"/>
      </w:pPr>
    </w:p>
    <w:p w14:paraId="7DB66FB7" w14:textId="231CAAE7" w:rsidR="00D544DC" w:rsidRDefault="00D544DC" w:rsidP="004D549F">
      <w:pPr>
        <w:spacing w:line="312" w:lineRule="auto"/>
      </w:pPr>
      <w:r w:rsidRPr="00D544DC">
        <w:t>Ott, M., Auli, M., Grangier, D., &amp; Ranzato, M. A. (2018, July). Analyzing uncertainty in neural machine translation. In International Conference on Machine Learning (pp. 3956-3965). PMLR.</w:t>
      </w:r>
    </w:p>
    <w:p w14:paraId="1DD518CA" w14:textId="1324D20E" w:rsidR="00BF2057" w:rsidRDefault="00BF2057" w:rsidP="004D549F">
      <w:pPr>
        <w:spacing w:line="312" w:lineRule="auto"/>
      </w:pPr>
    </w:p>
    <w:p w14:paraId="069B204E" w14:textId="17DA26B5" w:rsidR="00BF2057" w:rsidRPr="00807C41" w:rsidRDefault="00BF2057" w:rsidP="004D549F">
      <w:pPr>
        <w:spacing w:line="312" w:lineRule="auto"/>
      </w:pPr>
      <w:r w:rsidRPr="00BF2057">
        <w:t>Panait, M., Voica, M. C., &amp; Radulescu, I. (2014). The Activity of Capital Market Actors: Under the Sign of Social Responsibility. Procedia Economics and Finance, 8, 522-528.</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r w:rsidRPr="00807C41">
        <w:rPr>
          <w:i/>
          <w:iCs/>
        </w:rPr>
        <w:t>arXiv preprint cs/0205070</w:t>
      </w:r>
      <w:r w:rsidRPr="00807C41">
        <w:t>.</w:t>
      </w:r>
    </w:p>
    <w:p w14:paraId="6BC8BDE0" w14:textId="0F291CFC" w:rsidR="004B7FBB" w:rsidRDefault="004B7FBB" w:rsidP="004D549F">
      <w:pPr>
        <w:spacing w:line="312" w:lineRule="auto"/>
      </w:pPr>
    </w:p>
    <w:p w14:paraId="3749A486" w14:textId="68B5992B" w:rsidR="004B7FBB" w:rsidRDefault="004B7FBB" w:rsidP="004D549F">
      <w:pPr>
        <w:spacing w:line="312" w:lineRule="auto"/>
      </w:pPr>
      <w:r w:rsidRPr="004B7FBB">
        <w:t>Pechancová, V., Hrbáčková, L., Dvorský, J., Chromjaková, F., &amp; Stojanović, A. (2019). Environmental management systems: an effective tool of corporate sustainability. Entrepreneurship and Sustainability Issues.</w:t>
      </w:r>
    </w:p>
    <w:p w14:paraId="19C2058D" w14:textId="435BC086" w:rsidR="003915E3" w:rsidRDefault="003915E3" w:rsidP="004D549F">
      <w:pPr>
        <w:spacing w:line="312" w:lineRule="auto"/>
      </w:pPr>
    </w:p>
    <w:p w14:paraId="31F5A767" w14:textId="61917746" w:rsidR="003915E3" w:rsidRDefault="003915E3" w:rsidP="004D549F">
      <w:pPr>
        <w:spacing w:line="312" w:lineRule="auto"/>
      </w:pPr>
      <w:r w:rsidRPr="003915E3">
        <w:t>Pirnea, I. C., Olaru, M., &amp; Moisa, C. (2011). Relationship between corporate social responsibility and social sustainability. Economy Transdisciplinarity Cognition, 14(1).</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r w:rsidRPr="00FF0938">
        <w:rPr>
          <w:rFonts w:hint="eastAsia"/>
        </w:rPr>
        <w:t>nez,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r w:rsidRPr="00EE4817">
        <w:t>Pukelis, L., Puig, N. B., Skrynik, M., &amp; Stanciauskas, V. (2020). OSDG--Open-Source Approach to Classify Text Data by UN Sustainable Development Goals (SDGs). arXiv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AF3903">
        <w:t>Qiu, X. Y., Srinivasan, P., &amp; Hu, Y. (2014). 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276B48CE" w:rsidR="004D549F" w:rsidRDefault="004D549F" w:rsidP="004D549F">
      <w:pPr>
        <w:spacing w:line="312" w:lineRule="auto"/>
      </w:pPr>
      <w:r w:rsidRPr="00807C41">
        <w:t>Rehurek, R., &amp; Sojka, P. (2011). Gensim–python framework for vector space modelling. NLP Centre, Faculty of Informatics, Masaryk University, Brno, Czech Republic, 3(2).</w:t>
      </w:r>
    </w:p>
    <w:p w14:paraId="59D4C6E6" w14:textId="52DF4B02" w:rsidR="00247FEE" w:rsidRDefault="00247FEE" w:rsidP="004D549F">
      <w:pPr>
        <w:spacing w:line="312" w:lineRule="auto"/>
      </w:pPr>
    </w:p>
    <w:p w14:paraId="5B4D6351" w14:textId="5CF38B94" w:rsidR="00247FEE" w:rsidRPr="00807C41" w:rsidRDefault="00247FEE" w:rsidP="004D549F">
      <w:pPr>
        <w:spacing w:line="312" w:lineRule="auto"/>
      </w:pPr>
      <w:r>
        <w:t xml:space="preserve">Reuters. (2021). </w:t>
      </w:r>
      <w:r w:rsidRPr="00247FEE">
        <w:t>Singapore Exchange to mandates climate, board diversity disclosures</w:t>
      </w:r>
      <w:r>
        <w:t xml:space="preserve">. Retrieved from </w:t>
      </w:r>
      <w:hyperlink r:id="rId30" w:history="1">
        <w:r w:rsidRPr="008D1FC5">
          <w:rPr>
            <w:rStyle w:val="Hyperlink"/>
          </w:rPr>
          <w:t>https://www.reuters.com/business/sustainable-business/singapore-exchange-mandates-climate-board-diversity-disclosures-2021-12-15/</w:t>
        </w:r>
      </w:hyperlink>
      <w:r>
        <w:t xml:space="preserve"> on 2022,  Sep 11.</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lastRenderedPageBreak/>
        <w:t>Richardson, A. J., Welker, M., &amp; Hutchinson, I. R. (1999). Managing capital market reactions to corporate social resposibility. International Journal of Management Reviews, 1(1), 17-43.</w:t>
      </w:r>
    </w:p>
    <w:p w14:paraId="518BA9FF" w14:textId="760572ED" w:rsidR="00ED4D2B" w:rsidRDefault="00ED4D2B" w:rsidP="004D549F">
      <w:pPr>
        <w:spacing w:line="312" w:lineRule="auto"/>
      </w:pPr>
    </w:p>
    <w:p w14:paraId="4A16DF64" w14:textId="4B1554D0" w:rsidR="00ED4D2B" w:rsidRDefault="00ED4D2B" w:rsidP="004D549F">
      <w:pPr>
        <w:spacing w:line="312" w:lineRule="auto"/>
      </w:pPr>
      <w:r w:rsidRPr="00ED4D2B">
        <w:t>Rodgers, W., Choy, H., &amp; Contreras, A. G. (2007). The Effects of Corporate Social Responsibility Perceptions on The Valuation of Common Stock. Documentos de Trabajo FUNCAS, (313), 1.</w:t>
      </w:r>
    </w:p>
    <w:p w14:paraId="0C6384C2" w14:textId="60E8CE1B" w:rsidR="00C14897" w:rsidRDefault="00C14897" w:rsidP="004D549F">
      <w:pPr>
        <w:spacing w:line="312" w:lineRule="auto"/>
      </w:pPr>
    </w:p>
    <w:p w14:paraId="5E37D486" w14:textId="27E82CE8" w:rsidR="00C14897" w:rsidRDefault="00C14897" w:rsidP="004D549F">
      <w:pPr>
        <w:spacing w:line="312" w:lineRule="auto"/>
      </w:pPr>
      <w:r w:rsidRPr="00C14897">
        <w:t>Russo, M. V., &amp; Fouts, P. A. (1997). A resource-based perspective on corporate environmental performance and profitability. Academy of management Journal, 40(3), 534-559.</w:t>
      </w:r>
    </w:p>
    <w:p w14:paraId="6F13D001" w14:textId="661FB537" w:rsidR="00E209D5" w:rsidRDefault="00E209D5" w:rsidP="004D549F">
      <w:pPr>
        <w:spacing w:line="312" w:lineRule="auto"/>
      </w:pPr>
    </w:p>
    <w:p w14:paraId="6977ECC0" w14:textId="05351A6B" w:rsidR="00E209D5" w:rsidRDefault="00E209D5" w:rsidP="004D549F">
      <w:pPr>
        <w:spacing w:line="312" w:lineRule="auto"/>
      </w:pPr>
      <w:r w:rsidRPr="00E209D5">
        <w:t>Rutherford, B. A. (2003). Obfuscation, textual complexity and the role of regulated narrative accounting disclosure in corporate governance. Journal of management and governance, 7(2), 187-210.</w:t>
      </w:r>
    </w:p>
    <w:p w14:paraId="61432A4D" w14:textId="68BAA4FC" w:rsidR="00BF2057" w:rsidRDefault="00BF2057" w:rsidP="004D549F">
      <w:pPr>
        <w:spacing w:line="312" w:lineRule="auto"/>
      </w:pPr>
    </w:p>
    <w:p w14:paraId="5B584FA8" w14:textId="0F001BAF" w:rsidR="00BF2057" w:rsidRDefault="00BF2057" w:rsidP="004D549F">
      <w:pPr>
        <w:spacing w:line="312" w:lineRule="auto"/>
      </w:pPr>
      <w:r w:rsidRPr="00BF2057">
        <w:t>S</w:t>
      </w:r>
      <w:r>
        <w:t>alvioli</w:t>
      </w:r>
      <w:r w:rsidRPr="00BF2057">
        <w:t>, F. O. (2000). Los derechos Humanos en las convenciones internacionales de la última década del Siglo XX. Las grandes conferencias Mundiales de la década de los, 90, 11.</w:t>
      </w:r>
    </w:p>
    <w:p w14:paraId="6332AFBE" w14:textId="2A8CE8B6" w:rsidR="000B2105" w:rsidRDefault="000B2105" w:rsidP="004D549F">
      <w:pPr>
        <w:spacing w:line="312" w:lineRule="auto"/>
      </w:pPr>
    </w:p>
    <w:p w14:paraId="7AC85C0A" w14:textId="77A79B2D" w:rsidR="000B2105" w:rsidRDefault="000B2105" w:rsidP="004D549F">
      <w:pPr>
        <w:spacing w:line="312" w:lineRule="auto"/>
      </w:pPr>
      <w:r w:rsidRPr="000B2105">
        <w:t>Scott, W. R. (1995). Institutions and organizations. Thousand Oaks, CA: Sage</w:t>
      </w:r>
    </w:p>
    <w:p w14:paraId="73F907C7" w14:textId="33AC5601" w:rsidR="00BF2057" w:rsidRDefault="00BF2057" w:rsidP="004D549F">
      <w:pPr>
        <w:spacing w:line="312" w:lineRule="auto"/>
      </w:pPr>
    </w:p>
    <w:p w14:paraId="756C2FD0" w14:textId="3B773A75" w:rsidR="00BF2057" w:rsidRDefault="00BF2057" w:rsidP="004D549F">
      <w:pPr>
        <w:spacing w:line="312" w:lineRule="auto"/>
      </w:pPr>
      <w:r w:rsidRPr="00BF2057">
        <w:t>Shnayder, L., Van Rijnsoever, F. J., &amp; Hekkert, M. P. (2016). Motivations for Corporate Social Responsibility in the packaged food industry: an institutional and stakeholder management perspective. Journal of Cleaner Production, 122, 212-227.</w:t>
      </w:r>
    </w:p>
    <w:p w14:paraId="47048BEB" w14:textId="1478A3FF" w:rsidR="001E299C" w:rsidRDefault="001E299C" w:rsidP="004D549F">
      <w:pPr>
        <w:spacing w:line="312" w:lineRule="auto"/>
      </w:pPr>
    </w:p>
    <w:p w14:paraId="73381725" w14:textId="1FCE98E3" w:rsidR="001E299C" w:rsidRPr="00807C41" w:rsidRDefault="001E299C" w:rsidP="001E299C">
      <w:pPr>
        <w:spacing w:line="312" w:lineRule="auto"/>
      </w:pPr>
      <w:r>
        <w:t xml:space="preserve">Singapore Exchange. (2021, August 26). Starting with a Common Set of Core ESG Metrics. Retrieved from </w:t>
      </w:r>
      <w:hyperlink r:id="rId31"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7FF1ABA2"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32"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r w:rsidRPr="009E5CA3">
        <w:lastRenderedPageBreak/>
        <w:t>Smeuninx,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50E3231" w:rsidR="00F20A44" w:rsidRDefault="00F20A44" w:rsidP="004D549F">
      <w:pPr>
        <w:spacing w:line="312" w:lineRule="auto"/>
      </w:pPr>
      <w:r w:rsidRPr="00F20A44">
        <w:t>Stanton, P., &amp; Stanton, J. (2002). Corporate annual reports: research perspectives used. Accounting, Auditing &amp; Accountability Journal.</w:t>
      </w:r>
    </w:p>
    <w:p w14:paraId="4CA85E09" w14:textId="77777777" w:rsidR="00C14897" w:rsidRDefault="00C14897" w:rsidP="004D549F">
      <w:pPr>
        <w:spacing w:line="312" w:lineRule="auto"/>
      </w:pPr>
    </w:p>
    <w:p w14:paraId="180B6287" w14:textId="7A293196" w:rsidR="00BF4B82" w:rsidRDefault="00C14897" w:rsidP="004D549F">
      <w:pPr>
        <w:spacing w:line="312" w:lineRule="auto"/>
      </w:pPr>
      <w:r w:rsidRPr="00C14897">
        <w:t>Strickland, B. (2022, July 27). AICPA &amp; CIMA comment on ISSB drafts of sustainability disclosures. Financial Management. Retrieved from https://www.fm-magazine.com/news/2022/jul/aicpa-cima-comment-issb-drafts-sustainability-disclosures.html</w:t>
      </w:r>
    </w:p>
    <w:p w14:paraId="2DD5D124" w14:textId="77777777" w:rsidR="00C14897" w:rsidRDefault="00C14897" w:rsidP="004D549F">
      <w:pPr>
        <w:spacing w:line="312" w:lineRule="auto"/>
      </w:pPr>
    </w:p>
    <w:p w14:paraId="3F8FC9AB" w14:textId="3A55DAAD" w:rsidR="00BF4B82" w:rsidRPr="00807C41" w:rsidRDefault="00BF4B82" w:rsidP="004D549F">
      <w:pPr>
        <w:spacing w:line="312" w:lineRule="auto"/>
      </w:pPr>
      <w:r w:rsidRPr="00BF4B82">
        <w:t>Székely, N., &amp; Vom Brocke, J. (2017). What can we learn from corporate sustainability reporting? Deriving propositions for research and practice from over 9,500 corporate sustainability reports published between 1999 and 2015 using topic modelling technique. PloS one, 12(4), e0174807.</w:t>
      </w:r>
    </w:p>
    <w:p w14:paraId="40F0D36E" w14:textId="77777777" w:rsidR="004D549F" w:rsidRPr="00807C41" w:rsidRDefault="004D549F" w:rsidP="004D549F">
      <w:pPr>
        <w:spacing w:line="312" w:lineRule="auto"/>
      </w:pPr>
    </w:p>
    <w:p w14:paraId="71EC008B" w14:textId="61D6083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6B065144" w14:textId="6C688062" w:rsidR="003915E3" w:rsidRDefault="003915E3" w:rsidP="004D549F">
      <w:pPr>
        <w:spacing w:line="312" w:lineRule="auto"/>
      </w:pPr>
    </w:p>
    <w:p w14:paraId="001211FD" w14:textId="5D1721A8" w:rsidR="003915E3" w:rsidRDefault="003915E3" w:rsidP="003915E3">
      <w:pPr>
        <w:spacing w:line="312" w:lineRule="auto"/>
      </w:pPr>
      <w:r>
        <w:t>Taliento, M., Favino, C., &amp; Netti, A. (2019). Impact of environmental, social, and governance information on economic performance: Evidence of a corporate sustainability advantage from Europe. Sustainability, 11(6), 1738.</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TCFD (2019, June 5). Task Force on Climate-related Financial Disclosures: 2019 Status Report. disclosures. Financial Stability Board Task Force on Climate-Related Disclosures. Retrieved from https://www.fsb.org/2019/06/task-force-on-climate-related-financial-disclosures-2019-status-report/ on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552166">
        <w:t>Townsend, S., Bartels, W., &amp; Renaut, J.-P. (2010). Reporting change. Change, 1-33. Retrieved from http://www.sustainability.com/library</w:t>
      </w:r>
    </w:p>
    <w:p w14:paraId="05DDCFAF" w14:textId="77777777" w:rsidR="004D549F" w:rsidRPr="00807C41" w:rsidRDefault="004D549F" w:rsidP="004D549F">
      <w:pPr>
        <w:spacing w:line="312" w:lineRule="auto"/>
      </w:pPr>
    </w:p>
    <w:p w14:paraId="2975115E" w14:textId="36607EAF" w:rsidR="004D549F"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2EE8C94E" w14:textId="337F84FC" w:rsidR="00BF2057" w:rsidRDefault="00BF2057" w:rsidP="004D549F">
      <w:pPr>
        <w:spacing w:line="312" w:lineRule="auto"/>
      </w:pPr>
    </w:p>
    <w:p w14:paraId="3E1D949C" w14:textId="7F9ABEE1" w:rsidR="00BF2057" w:rsidRDefault="00BF2057" w:rsidP="004D549F">
      <w:pPr>
        <w:spacing w:line="312" w:lineRule="auto"/>
      </w:pPr>
      <w:r w:rsidRPr="00BF2057">
        <w:t>Vogel, D. J. (2005). Is there a market for virtue?: The business case for corporate social responsibility. California management review. 47(4), 19-45</w:t>
      </w:r>
    </w:p>
    <w:p w14:paraId="1D8DBD45" w14:textId="61A2C094" w:rsidR="00C14897" w:rsidRDefault="00C14897" w:rsidP="004D549F">
      <w:pPr>
        <w:spacing w:line="312" w:lineRule="auto"/>
      </w:pPr>
    </w:p>
    <w:p w14:paraId="3BC2D6AA" w14:textId="26C88245" w:rsidR="00C14897" w:rsidRPr="00807C41" w:rsidRDefault="00C14897" w:rsidP="004D549F">
      <w:pPr>
        <w:spacing w:line="312" w:lineRule="auto"/>
      </w:pPr>
      <w:r w:rsidRPr="00C14897">
        <w:t>Waddock, S. A., &amp; Graves, S. B. (1997). The corporate social performance–financial performance link. Strategic management journal, 18(4), 303-319.</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r w:rsidRPr="00807C41">
        <w:t>Wahyuningrum, I. F. S., Oktavilia, S., Putri, N., Solikhah, B., Djajadikerta, H., &amp; Tjahjaningsih,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3A2F3CED" w:rsidR="00E55A79" w:rsidRDefault="00E55A79" w:rsidP="00E55A79">
      <w:pPr>
        <w:spacing w:line="312" w:lineRule="auto"/>
      </w:pPr>
      <w:r>
        <w:t>Walker, R. (2021, May 27). Thailand leads ESG disclosure in Southeast Asia. Fund Selector Asia. https://fundselectorasia.com/thailand-leads-esg-disclosure-in-southeast-asia/</w:t>
      </w:r>
    </w:p>
    <w:p w14:paraId="41412524" w14:textId="4AA34B15" w:rsidR="00C14897" w:rsidRDefault="00C14897" w:rsidP="00E55A79">
      <w:pPr>
        <w:spacing w:line="312" w:lineRule="auto"/>
      </w:pPr>
    </w:p>
    <w:p w14:paraId="758442F6" w14:textId="0D3F56DF" w:rsidR="00C14897" w:rsidRPr="00807C41" w:rsidRDefault="00C14897" w:rsidP="00E55A79">
      <w:pPr>
        <w:spacing w:line="312" w:lineRule="auto"/>
      </w:pPr>
      <w:r w:rsidRPr="00C14897">
        <w:t>Weidenbaum, M., &amp; Vogt, S. (1987). Takeovers and stockholders: Winners and losers. California Management Review, 29(4), 157-168.</w:t>
      </w:r>
    </w:p>
    <w:p w14:paraId="5D40A640" w14:textId="77777777" w:rsidR="004D549F" w:rsidRPr="004D549F" w:rsidRDefault="004D549F" w:rsidP="004D549F"/>
    <w:sectPr w:rsidR="004D549F" w:rsidRPr="004D549F" w:rsidSect="00835CFC">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80781" w14:textId="77777777" w:rsidR="00034CB2" w:rsidRDefault="00034CB2" w:rsidP="00835CFC">
      <w:r>
        <w:separator/>
      </w:r>
    </w:p>
    <w:p w14:paraId="0304DF3F" w14:textId="77777777" w:rsidR="00034CB2" w:rsidRDefault="00034CB2" w:rsidP="00835CFC"/>
  </w:endnote>
  <w:endnote w:type="continuationSeparator" w:id="0">
    <w:p w14:paraId="12BD7A6E" w14:textId="77777777" w:rsidR="00034CB2" w:rsidRDefault="00034CB2" w:rsidP="00835CFC">
      <w:r>
        <w:continuationSeparator/>
      </w:r>
    </w:p>
    <w:p w14:paraId="0A0E88C9" w14:textId="77777777" w:rsidR="00034CB2" w:rsidRDefault="00034CB2"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288073"/>
      <w:docPartObj>
        <w:docPartGallery w:val="Page Numbers (Bottom of Page)"/>
        <w:docPartUnique/>
      </w:docPartObj>
    </w:sdtPr>
    <w:sdtEndPr>
      <w:rPr>
        <w:noProof/>
      </w:rPr>
    </w:sdtEndPr>
    <w:sdtContent>
      <w:p w14:paraId="09A41679" w14:textId="77777777" w:rsidR="00397D8B" w:rsidRDefault="00397D8B" w:rsidP="00122BA8">
        <w:pPr>
          <w:pStyle w:val="Footer"/>
          <w:jc w:val="center"/>
        </w:pPr>
      </w:p>
      <w:p w14:paraId="2CBE0DE2" w14:textId="30AEE897" w:rsidR="00835CFC" w:rsidRPr="00835CFC" w:rsidRDefault="00835CFC"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2277284" w14:textId="77777777" w:rsidR="00835CFC" w:rsidRDefault="00835CFC" w:rsidP="00835CFC">
    <w:pPr>
      <w:pStyle w:val="Footer"/>
    </w:pPr>
  </w:p>
  <w:p w14:paraId="13860A0D" w14:textId="77777777" w:rsidR="001324AF" w:rsidRDefault="001324AF"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77777777" w:rsidR="009521A3" w:rsidRDefault="009521A3" w:rsidP="00122BA8">
        <w:pPr>
          <w:pStyle w:val="Footer"/>
          <w:jc w:val="center"/>
        </w:pPr>
      </w:p>
      <w:p w14:paraId="4AC20339" w14:textId="77777777"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835CFC">
    <w:pPr>
      <w:pStyle w:val="Footer"/>
    </w:pPr>
  </w:p>
  <w:p w14:paraId="4D5B383A" w14:textId="77777777" w:rsidR="009521A3" w:rsidRDefault="009521A3"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55D38" w14:textId="77777777" w:rsidR="00034CB2" w:rsidRDefault="00034CB2" w:rsidP="00835CFC">
      <w:r>
        <w:separator/>
      </w:r>
    </w:p>
    <w:p w14:paraId="3D861EB6" w14:textId="77777777" w:rsidR="00034CB2" w:rsidRDefault="00034CB2" w:rsidP="00835CFC"/>
  </w:footnote>
  <w:footnote w:type="continuationSeparator" w:id="0">
    <w:p w14:paraId="20CFA551" w14:textId="77777777" w:rsidR="00034CB2" w:rsidRDefault="00034CB2" w:rsidP="00835CFC">
      <w:r>
        <w:continuationSeparator/>
      </w:r>
    </w:p>
    <w:p w14:paraId="5905E114" w14:textId="77777777" w:rsidR="00034CB2" w:rsidRDefault="00034CB2"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(Lohmoller, 1989).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0AE66E08"/>
    <w:lvl w:ilvl="0" w:tplc="BC300E04">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3723926"/>
    <w:multiLevelType w:val="hybridMultilevel"/>
    <w:tmpl w:val="61160FD8"/>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595745972">
    <w:abstractNumId w:val="8"/>
  </w:num>
  <w:num w:numId="2" w16cid:durableId="1076435277">
    <w:abstractNumId w:val="0"/>
  </w:num>
  <w:num w:numId="3" w16cid:durableId="1560169351">
    <w:abstractNumId w:val="7"/>
  </w:num>
  <w:num w:numId="4" w16cid:durableId="335813576">
    <w:abstractNumId w:val="14"/>
  </w:num>
  <w:num w:numId="5" w16cid:durableId="463235279">
    <w:abstractNumId w:val="15"/>
  </w:num>
  <w:num w:numId="6" w16cid:durableId="1173255827">
    <w:abstractNumId w:val="11"/>
  </w:num>
  <w:num w:numId="7" w16cid:durableId="537663880">
    <w:abstractNumId w:val="1"/>
  </w:num>
  <w:num w:numId="8" w16cid:durableId="237133768">
    <w:abstractNumId w:val="13"/>
  </w:num>
  <w:num w:numId="9" w16cid:durableId="1314794853">
    <w:abstractNumId w:val="3"/>
  </w:num>
  <w:num w:numId="10" w16cid:durableId="1934819879">
    <w:abstractNumId w:val="5"/>
  </w:num>
  <w:num w:numId="11" w16cid:durableId="237138519">
    <w:abstractNumId w:val="12"/>
  </w:num>
  <w:num w:numId="12" w16cid:durableId="793603201">
    <w:abstractNumId w:val="17"/>
  </w:num>
  <w:num w:numId="13" w16cid:durableId="1390615948">
    <w:abstractNumId w:val="6"/>
  </w:num>
  <w:num w:numId="14" w16cid:durableId="2093506194">
    <w:abstractNumId w:val="9"/>
  </w:num>
  <w:num w:numId="15" w16cid:durableId="449789130">
    <w:abstractNumId w:val="10"/>
  </w:num>
  <w:num w:numId="16" w16cid:durableId="1720864132">
    <w:abstractNumId w:val="4"/>
  </w:num>
  <w:num w:numId="17" w16cid:durableId="788862518">
    <w:abstractNumId w:val="2"/>
  </w:num>
  <w:num w:numId="18" w16cid:durableId="45606579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33D9"/>
    <w:rsid w:val="000117E1"/>
    <w:rsid w:val="00015146"/>
    <w:rsid w:val="000223D2"/>
    <w:rsid w:val="00024984"/>
    <w:rsid w:val="00031071"/>
    <w:rsid w:val="0003208C"/>
    <w:rsid w:val="000327D2"/>
    <w:rsid w:val="0003287C"/>
    <w:rsid w:val="00034CB2"/>
    <w:rsid w:val="00035523"/>
    <w:rsid w:val="00042156"/>
    <w:rsid w:val="00042EE1"/>
    <w:rsid w:val="000442CB"/>
    <w:rsid w:val="0004644E"/>
    <w:rsid w:val="000470ED"/>
    <w:rsid w:val="000502B0"/>
    <w:rsid w:val="00051CC0"/>
    <w:rsid w:val="000528A2"/>
    <w:rsid w:val="00063FE1"/>
    <w:rsid w:val="00065B27"/>
    <w:rsid w:val="0008518C"/>
    <w:rsid w:val="0008552A"/>
    <w:rsid w:val="00090F2B"/>
    <w:rsid w:val="000A2506"/>
    <w:rsid w:val="000A318B"/>
    <w:rsid w:val="000A712A"/>
    <w:rsid w:val="000B1E09"/>
    <w:rsid w:val="000B2105"/>
    <w:rsid w:val="000C6EA2"/>
    <w:rsid w:val="000D5B6C"/>
    <w:rsid w:val="000E13D3"/>
    <w:rsid w:val="000E3BB0"/>
    <w:rsid w:val="000F12C9"/>
    <w:rsid w:val="000F4E41"/>
    <w:rsid w:val="001051BC"/>
    <w:rsid w:val="00106C8B"/>
    <w:rsid w:val="00112163"/>
    <w:rsid w:val="001137B0"/>
    <w:rsid w:val="00116978"/>
    <w:rsid w:val="001210A8"/>
    <w:rsid w:val="00122BA8"/>
    <w:rsid w:val="0012486A"/>
    <w:rsid w:val="00126251"/>
    <w:rsid w:val="001324AF"/>
    <w:rsid w:val="00134AAB"/>
    <w:rsid w:val="0014080C"/>
    <w:rsid w:val="0014085D"/>
    <w:rsid w:val="00146E63"/>
    <w:rsid w:val="00153CA3"/>
    <w:rsid w:val="001637D5"/>
    <w:rsid w:val="001766D8"/>
    <w:rsid w:val="00180BEC"/>
    <w:rsid w:val="001829CE"/>
    <w:rsid w:val="00197E21"/>
    <w:rsid w:val="001A18CB"/>
    <w:rsid w:val="001A3292"/>
    <w:rsid w:val="001A4C45"/>
    <w:rsid w:val="001C07B9"/>
    <w:rsid w:val="001E299C"/>
    <w:rsid w:val="001E587E"/>
    <w:rsid w:val="001F3722"/>
    <w:rsid w:val="001F5434"/>
    <w:rsid w:val="002009C0"/>
    <w:rsid w:val="00201143"/>
    <w:rsid w:val="0020157B"/>
    <w:rsid w:val="00202B82"/>
    <w:rsid w:val="002036F9"/>
    <w:rsid w:val="002057EC"/>
    <w:rsid w:val="002077E7"/>
    <w:rsid w:val="00207C01"/>
    <w:rsid w:val="002100DA"/>
    <w:rsid w:val="00247556"/>
    <w:rsid w:val="00247E4A"/>
    <w:rsid w:val="00247FEE"/>
    <w:rsid w:val="002822AD"/>
    <w:rsid w:val="002871C7"/>
    <w:rsid w:val="002A35A7"/>
    <w:rsid w:val="002A3E36"/>
    <w:rsid w:val="002B7B22"/>
    <w:rsid w:val="002C79AA"/>
    <w:rsid w:val="002E0CE1"/>
    <w:rsid w:val="002F03F0"/>
    <w:rsid w:val="002F1E4A"/>
    <w:rsid w:val="002F202A"/>
    <w:rsid w:val="003043EE"/>
    <w:rsid w:val="003059D6"/>
    <w:rsid w:val="003069FC"/>
    <w:rsid w:val="00310EFA"/>
    <w:rsid w:val="00312BED"/>
    <w:rsid w:val="00320219"/>
    <w:rsid w:val="00327D9A"/>
    <w:rsid w:val="003317E7"/>
    <w:rsid w:val="00334F99"/>
    <w:rsid w:val="00341478"/>
    <w:rsid w:val="003431E0"/>
    <w:rsid w:val="003452A1"/>
    <w:rsid w:val="00360E29"/>
    <w:rsid w:val="00382112"/>
    <w:rsid w:val="00387393"/>
    <w:rsid w:val="0038779C"/>
    <w:rsid w:val="003915E3"/>
    <w:rsid w:val="00397123"/>
    <w:rsid w:val="00397D8B"/>
    <w:rsid w:val="003A5FF4"/>
    <w:rsid w:val="003F217F"/>
    <w:rsid w:val="003F3E1B"/>
    <w:rsid w:val="003F631B"/>
    <w:rsid w:val="00401124"/>
    <w:rsid w:val="00403E12"/>
    <w:rsid w:val="00410139"/>
    <w:rsid w:val="00410767"/>
    <w:rsid w:val="00411AEB"/>
    <w:rsid w:val="00411E2D"/>
    <w:rsid w:val="0041626F"/>
    <w:rsid w:val="00416907"/>
    <w:rsid w:val="00417528"/>
    <w:rsid w:val="004176BC"/>
    <w:rsid w:val="004219EA"/>
    <w:rsid w:val="004242EC"/>
    <w:rsid w:val="00424A76"/>
    <w:rsid w:val="004303FA"/>
    <w:rsid w:val="00433B08"/>
    <w:rsid w:val="00442A6C"/>
    <w:rsid w:val="004528CF"/>
    <w:rsid w:val="004601F8"/>
    <w:rsid w:val="00461C35"/>
    <w:rsid w:val="00464A9A"/>
    <w:rsid w:val="00465EAF"/>
    <w:rsid w:val="004666C1"/>
    <w:rsid w:val="00483285"/>
    <w:rsid w:val="004861B4"/>
    <w:rsid w:val="00486A79"/>
    <w:rsid w:val="0049007F"/>
    <w:rsid w:val="004906E9"/>
    <w:rsid w:val="00497603"/>
    <w:rsid w:val="004B328A"/>
    <w:rsid w:val="004B7FBB"/>
    <w:rsid w:val="004D0DD3"/>
    <w:rsid w:val="004D3196"/>
    <w:rsid w:val="004D4927"/>
    <w:rsid w:val="004D549F"/>
    <w:rsid w:val="004E2690"/>
    <w:rsid w:val="004E6BCB"/>
    <w:rsid w:val="004E700F"/>
    <w:rsid w:val="004F0C9E"/>
    <w:rsid w:val="004F31F3"/>
    <w:rsid w:val="004F5DB5"/>
    <w:rsid w:val="00501D8A"/>
    <w:rsid w:val="0050457B"/>
    <w:rsid w:val="0050713D"/>
    <w:rsid w:val="0051095B"/>
    <w:rsid w:val="005121E1"/>
    <w:rsid w:val="00515638"/>
    <w:rsid w:val="00516148"/>
    <w:rsid w:val="00525388"/>
    <w:rsid w:val="005421CA"/>
    <w:rsid w:val="0054567D"/>
    <w:rsid w:val="0054578E"/>
    <w:rsid w:val="00550498"/>
    <w:rsid w:val="00552166"/>
    <w:rsid w:val="00561068"/>
    <w:rsid w:val="0057565C"/>
    <w:rsid w:val="005939EF"/>
    <w:rsid w:val="005A3653"/>
    <w:rsid w:val="005A554F"/>
    <w:rsid w:val="005B4B5E"/>
    <w:rsid w:val="005C71F5"/>
    <w:rsid w:val="005D5AAA"/>
    <w:rsid w:val="005F0734"/>
    <w:rsid w:val="005F282F"/>
    <w:rsid w:val="00607BE1"/>
    <w:rsid w:val="0061300D"/>
    <w:rsid w:val="00617040"/>
    <w:rsid w:val="00625E23"/>
    <w:rsid w:val="00645374"/>
    <w:rsid w:val="006622BE"/>
    <w:rsid w:val="00663B86"/>
    <w:rsid w:val="006737F5"/>
    <w:rsid w:val="006828F2"/>
    <w:rsid w:val="00685387"/>
    <w:rsid w:val="00692278"/>
    <w:rsid w:val="006B481A"/>
    <w:rsid w:val="006B7ABE"/>
    <w:rsid w:val="006C11ED"/>
    <w:rsid w:val="006C3561"/>
    <w:rsid w:val="006C5080"/>
    <w:rsid w:val="006C5635"/>
    <w:rsid w:val="006C7A35"/>
    <w:rsid w:val="006D069C"/>
    <w:rsid w:val="006D1011"/>
    <w:rsid w:val="006D5A7F"/>
    <w:rsid w:val="006E081E"/>
    <w:rsid w:val="006E41BC"/>
    <w:rsid w:val="006F422B"/>
    <w:rsid w:val="006F4C13"/>
    <w:rsid w:val="006F5802"/>
    <w:rsid w:val="006F68C5"/>
    <w:rsid w:val="007028F3"/>
    <w:rsid w:val="00710254"/>
    <w:rsid w:val="00711E5D"/>
    <w:rsid w:val="00713FE8"/>
    <w:rsid w:val="00717DAF"/>
    <w:rsid w:val="00717DCF"/>
    <w:rsid w:val="007265A7"/>
    <w:rsid w:val="00727B78"/>
    <w:rsid w:val="00730C52"/>
    <w:rsid w:val="00733902"/>
    <w:rsid w:val="00737A15"/>
    <w:rsid w:val="00742778"/>
    <w:rsid w:val="00747A20"/>
    <w:rsid w:val="0075590E"/>
    <w:rsid w:val="00762DE1"/>
    <w:rsid w:val="0076614F"/>
    <w:rsid w:val="0078422F"/>
    <w:rsid w:val="0078476D"/>
    <w:rsid w:val="00784E7E"/>
    <w:rsid w:val="0079129B"/>
    <w:rsid w:val="00792FA0"/>
    <w:rsid w:val="00793B96"/>
    <w:rsid w:val="00796C9A"/>
    <w:rsid w:val="00797C4B"/>
    <w:rsid w:val="007A5386"/>
    <w:rsid w:val="007B6CD1"/>
    <w:rsid w:val="007B6E5B"/>
    <w:rsid w:val="007C17F8"/>
    <w:rsid w:val="007C28B1"/>
    <w:rsid w:val="007C33A4"/>
    <w:rsid w:val="007C501A"/>
    <w:rsid w:val="007C6C69"/>
    <w:rsid w:val="007D03F3"/>
    <w:rsid w:val="007D637A"/>
    <w:rsid w:val="007D7245"/>
    <w:rsid w:val="00804164"/>
    <w:rsid w:val="008045EE"/>
    <w:rsid w:val="00807C41"/>
    <w:rsid w:val="00807C71"/>
    <w:rsid w:val="008145E7"/>
    <w:rsid w:val="00823494"/>
    <w:rsid w:val="00835CFC"/>
    <w:rsid w:val="00847722"/>
    <w:rsid w:val="00884618"/>
    <w:rsid w:val="0089477A"/>
    <w:rsid w:val="00895169"/>
    <w:rsid w:val="008A616A"/>
    <w:rsid w:val="008D0208"/>
    <w:rsid w:val="008D5079"/>
    <w:rsid w:val="008D5D1B"/>
    <w:rsid w:val="008E5561"/>
    <w:rsid w:val="008E577F"/>
    <w:rsid w:val="00912E51"/>
    <w:rsid w:val="00912F4B"/>
    <w:rsid w:val="00922599"/>
    <w:rsid w:val="009330C2"/>
    <w:rsid w:val="00945656"/>
    <w:rsid w:val="009521A3"/>
    <w:rsid w:val="00966E78"/>
    <w:rsid w:val="009722F2"/>
    <w:rsid w:val="00974ED0"/>
    <w:rsid w:val="00982D13"/>
    <w:rsid w:val="0098660E"/>
    <w:rsid w:val="00991D13"/>
    <w:rsid w:val="009B1A59"/>
    <w:rsid w:val="009B28BD"/>
    <w:rsid w:val="009B6D2D"/>
    <w:rsid w:val="009C68D0"/>
    <w:rsid w:val="009D15E8"/>
    <w:rsid w:val="009D338C"/>
    <w:rsid w:val="009E262C"/>
    <w:rsid w:val="009E3741"/>
    <w:rsid w:val="009E44A9"/>
    <w:rsid w:val="009E52AA"/>
    <w:rsid w:val="009E5CA3"/>
    <w:rsid w:val="009F25D8"/>
    <w:rsid w:val="009F56AC"/>
    <w:rsid w:val="009F7F41"/>
    <w:rsid w:val="00A256C0"/>
    <w:rsid w:val="00A406C5"/>
    <w:rsid w:val="00A421C4"/>
    <w:rsid w:val="00A42D9D"/>
    <w:rsid w:val="00A45D2B"/>
    <w:rsid w:val="00A557B0"/>
    <w:rsid w:val="00A570AF"/>
    <w:rsid w:val="00A6111D"/>
    <w:rsid w:val="00A734F0"/>
    <w:rsid w:val="00A7463F"/>
    <w:rsid w:val="00A81961"/>
    <w:rsid w:val="00A82F8D"/>
    <w:rsid w:val="00A834D5"/>
    <w:rsid w:val="00A90806"/>
    <w:rsid w:val="00A91107"/>
    <w:rsid w:val="00AA350B"/>
    <w:rsid w:val="00AA548D"/>
    <w:rsid w:val="00AA6AD0"/>
    <w:rsid w:val="00AC291E"/>
    <w:rsid w:val="00AC4FCC"/>
    <w:rsid w:val="00AD4A12"/>
    <w:rsid w:val="00AE24A0"/>
    <w:rsid w:val="00AE60CE"/>
    <w:rsid w:val="00AF3903"/>
    <w:rsid w:val="00AF60CA"/>
    <w:rsid w:val="00B016B4"/>
    <w:rsid w:val="00B02A1E"/>
    <w:rsid w:val="00B02DF7"/>
    <w:rsid w:val="00B035F1"/>
    <w:rsid w:val="00B111BC"/>
    <w:rsid w:val="00B123B6"/>
    <w:rsid w:val="00B16D3A"/>
    <w:rsid w:val="00B21F86"/>
    <w:rsid w:val="00B3040B"/>
    <w:rsid w:val="00B30DCF"/>
    <w:rsid w:val="00B3389B"/>
    <w:rsid w:val="00B44BF8"/>
    <w:rsid w:val="00B47636"/>
    <w:rsid w:val="00B54ADB"/>
    <w:rsid w:val="00B55FB9"/>
    <w:rsid w:val="00B57009"/>
    <w:rsid w:val="00B62D6B"/>
    <w:rsid w:val="00B9430E"/>
    <w:rsid w:val="00B967CA"/>
    <w:rsid w:val="00B97D94"/>
    <w:rsid w:val="00BA3BC0"/>
    <w:rsid w:val="00BA7A9F"/>
    <w:rsid w:val="00BE24BA"/>
    <w:rsid w:val="00BE397A"/>
    <w:rsid w:val="00BF2057"/>
    <w:rsid w:val="00BF4B82"/>
    <w:rsid w:val="00C013B9"/>
    <w:rsid w:val="00C058BD"/>
    <w:rsid w:val="00C12F9D"/>
    <w:rsid w:val="00C14897"/>
    <w:rsid w:val="00C23448"/>
    <w:rsid w:val="00C41C2B"/>
    <w:rsid w:val="00C41E81"/>
    <w:rsid w:val="00C50614"/>
    <w:rsid w:val="00C524D3"/>
    <w:rsid w:val="00C5373D"/>
    <w:rsid w:val="00C546CD"/>
    <w:rsid w:val="00C67071"/>
    <w:rsid w:val="00C730E8"/>
    <w:rsid w:val="00C760B0"/>
    <w:rsid w:val="00C822B0"/>
    <w:rsid w:val="00C9396B"/>
    <w:rsid w:val="00CA2121"/>
    <w:rsid w:val="00CB0BA2"/>
    <w:rsid w:val="00CB3EFB"/>
    <w:rsid w:val="00CC20F2"/>
    <w:rsid w:val="00CD2062"/>
    <w:rsid w:val="00CD3471"/>
    <w:rsid w:val="00CE5031"/>
    <w:rsid w:val="00CF1200"/>
    <w:rsid w:val="00CF29F3"/>
    <w:rsid w:val="00D03155"/>
    <w:rsid w:val="00D13C8D"/>
    <w:rsid w:val="00D2176C"/>
    <w:rsid w:val="00D348FF"/>
    <w:rsid w:val="00D36651"/>
    <w:rsid w:val="00D50354"/>
    <w:rsid w:val="00D544DC"/>
    <w:rsid w:val="00D601D6"/>
    <w:rsid w:val="00D732D3"/>
    <w:rsid w:val="00D801DF"/>
    <w:rsid w:val="00D85E9D"/>
    <w:rsid w:val="00D86706"/>
    <w:rsid w:val="00D871E5"/>
    <w:rsid w:val="00D9132F"/>
    <w:rsid w:val="00DB7067"/>
    <w:rsid w:val="00DE6ED4"/>
    <w:rsid w:val="00DF0A7D"/>
    <w:rsid w:val="00DF2C55"/>
    <w:rsid w:val="00E163CA"/>
    <w:rsid w:val="00E16B17"/>
    <w:rsid w:val="00E209D5"/>
    <w:rsid w:val="00E24B79"/>
    <w:rsid w:val="00E41D75"/>
    <w:rsid w:val="00E427F9"/>
    <w:rsid w:val="00E5107D"/>
    <w:rsid w:val="00E55A79"/>
    <w:rsid w:val="00E625AA"/>
    <w:rsid w:val="00E62C3D"/>
    <w:rsid w:val="00E71116"/>
    <w:rsid w:val="00E76407"/>
    <w:rsid w:val="00E902FC"/>
    <w:rsid w:val="00EA1C4D"/>
    <w:rsid w:val="00EA4579"/>
    <w:rsid w:val="00EA5D82"/>
    <w:rsid w:val="00EA6BE6"/>
    <w:rsid w:val="00EB2635"/>
    <w:rsid w:val="00EC7FE9"/>
    <w:rsid w:val="00ED4D2B"/>
    <w:rsid w:val="00ED6E2A"/>
    <w:rsid w:val="00EE28F7"/>
    <w:rsid w:val="00EE4817"/>
    <w:rsid w:val="00EE5604"/>
    <w:rsid w:val="00EF036C"/>
    <w:rsid w:val="00EF1220"/>
    <w:rsid w:val="00EF6C1B"/>
    <w:rsid w:val="00F075BA"/>
    <w:rsid w:val="00F11917"/>
    <w:rsid w:val="00F20A44"/>
    <w:rsid w:val="00F21FA5"/>
    <w:rsid w:val="00F22D21"/>
    <w:rsid w:val="00F33BFE"/>
    <w:rsid w:val="00F45D3B"/>
    <w:rsid w:val="00F557B2"/>
    <w:rsid w:val="00F6024F"/>
    <w:rsid w:val="00F7798E"/>
    <w:rsid w:val="00F81124"/>
    <w:rsid w:val="00F84DEA"/>
    <w:rsid w:val="00F931FF"/>
    <w:rsid w:val="00F96695"/>
    <w:rsid w:val="00F97EB4"/>
    <w:rsid w:val="00FA7588"/>
    <w:rsid w:val="00FA7688"/>
    <w:rsid w:val="00FB2D37"/>
    <w:rsid w:val="00FB6193"/>
    <w:rsid w:val="00FC2821"/>
    <w:rsid w:val="00FC2B56"/>
    <w:rsid w:val="00FD4733"/>
    <w:rsid w:val="00FD6FC8"/>
    <w:rsid w:val="00FF093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semiHidden/>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semiHidden/>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hyperlink" Target="https://www.straitstimes.com/business/companies-markets/investors-can-check-singapore-companies-climate-disclosures-with-new-esg-port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sgx.com/regulation/sustainability-reporting"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hyperlink" Target="https://www.lexology.com/library/detail.aspx?g=1b4ea3d2-1330-4f35-8e5f-447f181e3e64"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sgx.com/regulation/public-consultations/20210826-consultation-paper-climate-and-diversit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reuters.com/business/sustainable-business/singapore-exchange-mandates-climate-board-diversity-disclosures-2021-12-15/" TargetMode="Externa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un.org/sustainabledevelopment/sustainable-development-go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3715</TotalTime>
  <Pages>84</Pages>
  <Words>18998</Words>
  <Characters>108294</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274</cp:revision>
  <dcterms:created xsi:type="dcterms:W3CDTF">2022-07-12T13:13:00Z</dcterms:created>
  <dcterms:modified xsi:type="dcterms:W3CDTF">2022-09-11T20:57:00Z</dcterms:modified>
</cp:coreProperties>
</file>