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787878"/>
          <w:sz w:val="20"/>
        </w:rPr>
        <w:t>TRAILBLAZER BOOTCAMP 2026</w:t>
      </w:r>
    </w:p>
    <w:p>
      <w:pPr>
        <w:spacing w:after="240"/>
      </w:pPr>
      <w:r>
        <w:rPr>
          <w:b/>
          <w:color w:val="003366"/>
          <w:sz w:val="40"/>
        </w:rPr>
        <w:t>Module 1 · Session 2 · Day 2 Daily Lab Submission</w:t>
      </w:r>
    </w:p>
    <w:p>
      <w:pPr>
        <w:spacing w:after="320"/>
      </w:pPr>
      <w:r>
        <w:rPr>
          <w:b/>
          <w:sz w:val="21"/>
        </w:rPr>
        <w:t xml:space="preserve">Student: </w:t>
      </w:r>
      <w:r>
        <w:rPr>
          <w:b w:val="0"/>
          <w:sz w:val="21"/>
        </w:rPr>
        <w:t>Jeremy</w:t>
        <w:br/>
      </w:r>
      <w:r>
        <w:rPr>
          <w:b/>
          <w:sz w:val="21"/>
        </w:rPr>
        <w:t xml:space="preserve">Project Area: </w:t>
      </w:r>
      <w:r>
        <w:rPr>
          <w:b w:val="0"/>
          <w:sz w:val="21"/>
        </w:rPr>
        <w:t>Project 2: Climate and Local Environment Action</w:t>
        <w:br/>
      </w:r>
      <w:r>
        <w:rPr>
          <w:b/>
          <w:sz w:val="21"/>
        </w:rPr>
        <w:t xml:space="preserve">Focus Topic: </w:t>
      </w:r>
      <w:r>
        <w:rPr>
          <w:b w:val="0"/>
          <w:sz w:val="21"/>
        </w:rPr>
        <w:t>Waste Sorting &amp; Management in Nairobi Neighbourhoods</w:t>
        <w:br/>
      </w:r>
      <w:r>
        <w:rPr>
          <w:b/>
          <w:sz w:val="21"/>
        </w:rPr>
        <w:t xml:space="preserve">Date: </w:t>
      </w:r>
      <w:r>
        <w:rPr>
          <w:b w:val="0"/>
          <w:sz w:val="21"/>
        </w:rPr>
        <w:t>11 August 2026</w:t>
      </w:r>
    </w:p>
    <w:p>
      <w:pPr>
        <w:pStyle w:val="Heading1"/>
      </w:pPr>
      <w:r>
        <w:rPr>
          <w:rFonts w:ascii="Calibri" w:hAnsi="Calibri"/>
          <w:b/>
          <w:color w:val="003366"/>
          <w:sz w:val="32"/>
        </w:rPr>
        <w:t>Part 1: Project Selection</w:t>
      </w:r>
    </w:p>
    <w:p>
      <w:r>
        <w:rPr>
          <w:b/>
        </w:rPr>
        <w:t xml:space="preserve">Chosen Project: </w:t>
      </w:r>
      <w:r>
        <w:t>Project 2 — Climate and Local Environment Action</w:t>
      </w:r>
    </w:p>
    <w:p>
      <w:r>
        <w:rPr>
          <w:b/>
        </w:rPr>
        <w:t xml:space="preserve">Why I Chose This Project: </w:t>
      </w:r>
      <w:r>
        <w:t>I chose this project because plastic waste and clogged drainage are daily visible issues in Nairobi that directly worsen urban flooding. Young people face an enormous gap between noticing waste problems and knowing where or how to take concrete local action.</w:t>
      </w:r>
    </w:p>
    <w:p>
      <w:pPr>
        <w:pStyle w:val="Heading1"/>
      </w:pPr>
      <w:r>
        <w:rPr>
          <w:rFonts w:ascii="Calibri" w:hAnsi="Calibri"/>
          <w:b/>
          <w:color w:val="003366"/>
          <w:sz w:val="32"/>
        </w:rPr>
        <w:t>Part 2: Desktop Research Sprint</w:t>
      </w:r>
    </w:p>
    <w:p>
      <w:r>
        <w:t>Three credible sources were identified to analyze problem scale, primary sufferers, and limitations of current environmental solutions in Nairobi: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shd w:fill="003366" w:val="clear"/>
          </w:tcPr>
          <w:p>
            <w:r>
              <w:rPr>
                <w:b/>
                <w:color w:val="FFFFFF"/>
                <w:sz w:val="20"/>
              </w:rPr>
              <w:t>Source</w:t>
            </w:r>
          </w:p>
        </w:tc>
        <w:tc>
          <w:tcPr>
            <w:tcW w:type="dxa" w:w="3402"/>
            <w:shd w:fill="003366" w:val="clear"/>
          </w:tcPr>
          <w:p>
            <w:r>
              <w:rPr>
                <w:b/>
                <w:color w:val="FFFFFF"/>
                <w:sz w:val="20"/>
              </w:rPr>
              <w:t>Key Finding (What It Tells You)</w:t>
            </w:r>
          </w:p>
        </w:tc>
        <w:tc>
          <w:tcPr>
            <w:tcW w:type="dxa" w:w="1984"/>
            <w:shd w:fill="003366" w:val="clear"/>
          </w:tcPr>
          <w:p>
            <w:r>
              <w:rPr>
                <w:b/>
                <w:color w:val="FFFFFF"/>
                <w:sz w:val="20"/>
              </w:rPr>
              <w:t>Question Answered</w:t>
            </w:r>
          </w:p>
        </w:tc>
        <w:tc>
          <w:tcPr>
            <w:tcW w:type="dxa" w:w="1701"/>
            <w:shd w:fill="003366" w:val="clear"/>
          </w:tcPr>
          <w:p>
            <w:r>
              <w:rPr>
                <w:b/>
                <w:color w:val="FFFFFF"/>
                <w:sz w:val="20"/>
              </w:rPr>
              <w:t>Source Type</w:t>
            </w:r>
          </w:p>
        </w:tc>
      </w:tr>
      <w:tr>
        <w:tc>
          <w:tcPr>
            <w:tcW w:type="dxa" w:w="1984"/>
          </w:tcPr>
          <w:p>
            <w:r>
              <w:rPr>
                <w:b/>
                <w:sz w:val="19"/>
              </w:rPr>
              <w:t>Nairobi City County Government / JICA (2025/2026)</w:t>
            </w:r>
          </w:p>
        </w:tc>
        <w:tc>
          <w:tcPr>
            <w:tcW w:type="dxa" w:w="3402"/>
          </w:tcPr>
          <w:p>
            <w:r>
              <w:rPr>
                <w:sz w:val="19"/>
              </w:rPr>
              <w:t>Nairobi generates ~3,000 tonnes of waste daily, but only ~40% is formally collected by county and private providers.</w:t>
            </w:r>
          </w:p>
        </w:tc>
        <w:tc>
          <w:tcPr>
            <w:tcW w:type="dxa" w:w="1984"/>
          </w:tcPr>
          <w:p>
            <w:r>
              <w:rPr>
                <w:sz w:val="19"/>
              </w:rPr>
              <w:t>Scale &amp; Frequency</w:t>
            </w:r>
          </w:p>
        </w:tc>
        <w:tc>
          <w:tcPr>
            <w:tcW w:type="dxa" w:w="1701"/>
          </w:tcPr>
          <w:p>
            <w:r>
              <w:rPr>
                <w:sz w:val="19"/>
              </w:rPr>
              <w:t>Primary (City Waste Audit)</w:t>
            </w:r>
          </w:p>
        </w:tc>
      </w:tr>
      <w:tr>
        <w:tc>
          <w:tcPr>
            <w:tcW w:type="dxa" w:w="1984"/>
            <w:shd w:fill="F2F7FB" w:val="clear"/>
          </w:tcPr>
          <w:p>
            <w:r>
              <w:rPr>
                <w:b/>
                <w:sz w:val="19"/>
              </w:rPr>
              <w:t>World Resources Institute (WRI) &amp; Ushahidi Reports (2026)</w:t>
            </w:r>
          </w:p>
        </w:tc>
        <w:tc>
          <w:tcPr>
            <w:tcW w:type="dxa" w:w="3402"/>
            <w:shd w:fill="F2F7FB" w:val="clear"/>
          </w:tcPr>
          <w:p>
            <w:r>
              <w:rPr>
                <w:sz w:val="19"/>
              </w:rPr>
              <w:t>Uncollected plastic waste blocks storm drains in informal settlements, directly worsening flash floods that caused 66+ deaths in March 2026.</w:t>
            </w:r>
          </w:p>
        </w:tc>
        <w:tc>
          <w:tcPr>
            <w:tcW w:type="dxa" w:w="1984"/>
            <w:shd w:fill="F2F7FB" w:val="clear"/>
          </w:tcPr>
          <w:p>
            <w:r>
              <w:rPr>
                <w:sz w:val="19"/>
              </w:rPr>
              <w:t>Who is Affected &amp; Severity</w:t>
            </w:r>
          </w:p>
        </w:tc>
        <w:tc>
          <w:tcPr>
            <w:tcW w:type="dxa" w:w="1701"/>
            <w:shd w:fill="F2F7FB" w:val="clear"/>
          </w:tcPr>
          <w:p>
            <w:r>
              <w:rPr>
                <w:sz w:val="19"/>
              </w:rPr>
              <w:t>Secondary (Analytical Report)</w:t>
            </w:r>
          </w:p>
        </w:tc>
      </w:tr>
      <w:tr>
        <w:tc>
          <w:tcPr>
            <w:tcW w:type="dxa" w:w="1984"/>
          </w:tcPr>
          <w:p>
            <w:r>
              <w:rPr>
                <w:b/>
                <w:sz w:val="19"/>
              </w:rPr>
              <w:t>Zero Waste Kenya &amp; TakaTaka Solutions Directory</w:t>
            </w:r>
          </w:p>
        </w:tc>
        <w:tc>
          <w:tcPr>
            <w:tcW w:type="dxa" w:w="3402"/>
          </w:tcPr>
          <w:p>
            <w:r>
              <w:rPr>
                <w:sz w:val="19"/>
              </w:rPr>
              <w:t>Local recycling drop-offs and cleanup initiatives exist, but info is scattered across adult-focused sites and social media, making it hard for students to navigate.</w:t>
            </w:r>
          </w:p>
        </w:tc>
        <w:tc>
          <w:tcPr>
            <w:tcW w:type="dxa" w:w="1984"/>
          </w:tcPr>
          <w:p>
            <w:r>
              <w:rPr>
                <w:sz w:val="19"/>
              </w:rPr>
              <w:t>What Exists &amp; Limitations</w:t>
            </w:r>
          </w:p>
        </w:tc>
        <w:tc>
          <w:tcPr>
            <w:tcW w:type="dxa" w:w="1701"/>
          </w:tcPr>
          <w:p>
            <w:r>
              <w:rPr>
                <w:sz w:val="19"/>
              </w:rPr>
              <w:t>Primary (Service Directory)</w:t>
            </w:r>
          </w:p>
        </w:tc>
      </w:tr>
    </w:tbl>
    <w:p/>
    <w:p>
      <w:pPr>
        <w:pStyle w:val="Heading2"/>
      </w:pPr>
      <w:r>
        <w:rPr>
          <w:rFonts w:ascii="Calibri" w:hAnsi="Calibri"/>
          <w:b/>
          <w:color w:val="006699"/>
          <w:sz w:val="26"/>
        </w:rPr>
        <w:t>Key Research Findings</w:t>
      </w:r>
    </w:p>
    <w:p>
      <w:pPr>
        <w:pStyle w:val="ListBullet"/>
      </w:pPr>
      <w:r>
        <w:rPr>
          <w:b/>
        </w:rPr>
        <w:t xml:space="preserve">Scale &amp; Frequency Statistic: </w:t>
      </w:r>
      <w:r>
        <w:t>Nairobi produces 3,000 tonnes of waste daily with only a 40% formal collection rate, leaving 60% of waste in local streets and waterways (Source: Nairobi City County / JICA Study).</w:t>
      </w:r>
    </w:p>
    <w:p>
      <w:pPr>
        <w:pStyle w:val="ListBullet"/>
      </w:pPr>
      <w:r>
        <w:rPr>
          <w:b/>
        </w:rPr>
        <w:t xml:space="preserve">Existing Solution Gap: </w:t>
      </w:r>
      <w:r>
        <w:t>Organisations like Zero Waste Kenya and TakaTaka Solutions operate recycling drop-offs and cleanups, but information is fragmented across adult-facing platforms, preventing young people from discovering them.</w:t>
      </w:r>
    </w:p>
    <w:p>
      <w:pPr>
        <w:pStyle w:val="Heading1"/>
      </w:pPr>
      <w:r>
        <w:rPr>
          <w:rFonts w:ascii="Calibri" w:hAnsi="Calibri"/>
          <w:b/>
          <w:color w:val="003366"/>
          <w:sz w:val="32"/>
        </w:rPr>
        <w:t>Part 3: Draft Problem Statement &amp; Three Tests</w:t>
      </w:r>
    </w:p>
    <w:p>
      <w:pPr>
        <w:pStyle w:val="Heading2"/>
      </w:pPr>
      <w:r>
        <w:rPr>
          <w:rFonts w:ascii="Calibri" w:hAnsi="Calibri"/>
          <w:b/>
          <w:color w:val="006699"/>
          <w:sz w:val="26"/>
        </w:rPr>
        <w:t>Draft Problem Statement (One Paragraph)</w:t>
      </w:r>
    </w:p>
    <w:p>
      <w:pPr>
        <w:spacing w:before="160" w:after="240"/>
        <w:ind w:left="454" w:right="454"/>
        <w:pBdr>
          <w:top w:val="single" w:sz="4" w:space="6" w:color="003366"/>
          <w:left w:val="single" w:sz="4" w:space="6" w:color="003366"/>
          <w:bottom w:val="single" w:sz="4" w:space="6" w:color="003366"/>
          <w:right w:val="single" w:sz="4" w:space="6" w:color="003366"/>
        </w:pBdr>
        <w:shd w:fill="F2F7FB" w:val="clear"/>
      </w:pPr>
      <w:r>
        <w:rPr>
          <w:b/>
          <w:sz w:val="21"/>
        </w:rPr>
        <w:t>Young people in Nairobi’s high-density neighbourhoods (such as Kibera, Mathare, Pipeline, and Githurai) face waste mismanagement daily but cannot sort or dispose of their waste correctly because waste sorting guidance, recycling drop-off locations, and clean-up event information are scattered across dozens of adult-facing websites, NGO social media pages, and WhatsApp groups that no single student knows how to navigate.</w:t>
      </w:r>
    </w:p>
    <w:p>
      <w:pPr>
        <w:pStyle w:val="Heading2"/>
      </w:pPr>
      <w:r>
        <w:rPr>
          <w:rFonts w:ascii="Calibri" w:hAnsi="Calibri"/>
          <w:b/>
          <w:color w:val="006699"/>
          <w:sz w:val="26"/>
        </w:rPr>
        <w:t>Three Tests Verification</w:t>
      </w:r>
    </w:p>
    <w:tbl>
      <w:tblPr>
        <w:tblStyle w:val="TableGrid"/>
        <w:tblW w:type="auto" w:w="0"/>
        <w:jc w:val="center"/>
        <w:tblLook w:firstColumn="1" w:firstRow="1" w:lastColumn="0" w:lastRow="0" w:noHBand="0" w:noVBand="1" w:val="04A0"/>
      </w:tblPr>
      <w:tblGrid>
        <w:gridCol w:w="4680"/>
        <w:gridCol w:w="4680"/>
      </w:tblGrid>
      <w:tr>
        <w:tc>
          <w:tcPr>
            <w:tcW w:type="dxa" w:w="1814"/>
            <w:shd w:fill="003366" w:val="clear"/>
          </w:tcPr>
          <w:p>
            <w:r>
              <w:rPr>
                <w:b/>
                <w:color w:val="FFFFFF"/>
              </w:rPr>
              <w:t>Test</w:t>
            </w:r>
          </w:p>
        </w:tc>
        <w:tc>
          <w:tcPr>
            <w:tcW w:type="dxa" w:w="7257"/>
            <w:shd w:fill="003366" w:val="clear"/>
          </w:tcPr>
          <w:p>
            <w:r>
              <w:rPr>
                <w:b/>
                <w:color w:val="FFFFFF"/>
              </w:rPr>
              <w:t>Verified Answer &amp; Evidence</w:t>
            </w:r>
          </w:p>
        </w:tc>
      </w:tr>
      <w:tr>
        <w:tc>
          <w:tcPr>
            <w:tcW w:type="dxa" w:w="1814"/>
          </w:tcPr>
          <w:p>
            <w:r>
              <w:rPr>
                <w:b/>
              </w:rPr>
              <w:t>Frequency</w:t>
            </w:r>
          </w:p>
        </w:tc>
        <w:tc>
          <w:tcPr>
            <w:tcW w:type="dxa" w:w="7257"/>
          </w:tcPr>
          <w:p>
            <w:r>
              <w:t>Daily — Students encounter uncollected, unsorted waste in their streets and drainage channels every day because 60% of the city’s daily waste is left uncollected.</w:t>
            </w:r>
          </w:p>
        </w:tc>
      </w:tr>
      <w:tr>
        <w:tc>
          <w:tcPr>
            <w:tcW w:type="dxa" w:w="1814"/>
            <w:shd w:fill="F2F7FB" w:val="clear"/>
          </w:tcPr>
          <w:p>
            <w:r>
              <w:rPr>
                <w:b/>
              </w:rPr>
              <w:t>Pain Level</w:t>
            </w:r>
          </w:p>
        </w:tc>
        <w:tc>
          <w:tcPr>
            <w:tcW w:type="dxa" w:w="7257"/>
            <w:shd w:fill="F2F7FB" w:val="clear"/>
          </w:tcPr>
          <w:p>
            <w:r>
              <w:t>High — Clogged drains directly worsen flash flooding (66+ deaths in March 2026) and air pollution, while students lose confidence and time trying to find actionable guidance.</w:t>
            </w:r>
          </w:p>
        </w:tc>
      </w:tr>
      <w:tr>
        <w:tc>
          <w:tcPr>
            <w:tcW w:type="dxa" w:w="1814"/>
          </w:tcPr>
          <w:p>
            <w:r>
              <w:rPr>
                <w:b/>
              </w:rPr>
              <w:t>Who Has It</w:t>
            </w:r>
          </w:p>
        </w:tc>
        <w:tc>
          <w:tcPr>
            <w:tcW w:type="dxa" w:w="7257"/>
          </w:tcPr>
          <w:p>
            <w:r>
              <w:t>Secondary school and university students in high-density Nairobi neighbourhoods (Kibera, Mathare, Pipeline, Githurai) who want to sort waste or join cleanups.</w:t>
            </w:r>
          </w:p>
        </w:tc>
      </w:tr>
    </w:tbl>
    <w:p/>
    <w:p>
      <w:r>
        <w:rPr>
          <w:b/>
        </w:rPr>
        <w:t xml:space="preserve">Learning Team Check Question Answer: </w:t>
      </w:r>
      <w:r>
        <w:t>"Secondary school and university students in Nairobi neighbourhoods like Kibera and Mathare who want to sort waste or recycle but cannot find clear, student-friendly local guidance."</w:t>
      </w:r>
    </w:p>
    <w:p>
      <w:pPr>
        <w:pStyle w:val="Heading1"/>
      </w:pPr>
      <w:r>
        <w:rPr>
          <w:rFonts w:ascii="Calibri" w:hAnsi="Calibri"/>
          <w:b/>
          <w:color w:val="003366"/>
          <w:sz w:val="32"/>
        </w:rPr>
        <w:t>Part 4: Live Page Update &amp; Git Workflow</w:t>
      </w:r>
    </w:p>
    <w:p>
      <w:r>
        <w:t>The live prototype HTML file (index.html) has been updated with the required source comment and verified evidence paragraph in the &lt;section id="evidence"&gt; container:</w:t>
      </w:r>
    </w:p>
    <w:p>
      <w:pPr>
        <w:ind w:left="454" w:right="454"/>
      </w:pPr>
      <w:r>
        <w:rPr>
          <w:rFonts w:ascii="Consolas" w:hAnsi="Consolas"/>
          <w:color w:val="003366"/>
          <w:sz w:val="19"/>
        </w:rPr>
        <w:t>&lt;!-- Source: Nairobi City County Government / JICA Solid Waste Management Study --&gt;</w:t>
        <w:br/>
        <w:t>&lt;p class="problem-statement"&gt;</w:t>
        <w:br/>
        <w:t xml:space="preserve">  Nairobi generates over 3,000 tonnes of waste daily, but only about 40% is formally collected, leaving uncollected plastic waste to block vital urban drainage systems across local neighbourhoods.</w:t>
        <w:br/>
        <w:t>&lt;/p&gt;</w:t>
      </w:r>
    </w:p>
    <w:p>
      <w:pPr>
        <w:pStyle w:val="Heading2"/>
      </w:pPr>
      <w:r>
        <w:t>Git Push Commands Executed</w:t>
      </w:r>
    </w:p>
    <w:p>
      <w:pPr>
        <w:ind w:left="454"/>
      </w:pPr>
      <w:r>
        <w:rPr>
          <w:rFonts w:ascii="Consolas" w:hAnsi="Consolas"/>
          <w:color w:val="008000"/>
          <w:sz w:val="20"/>
        </w:rPr>
        <w:t>git add .</w:t>
        <w:br/>
        <w:t>git commit -m "Day 2: first research finding added"</w:t>
        <w:br/>
        <w:t>git push origin main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