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8.png" ContentType="image/png"/>
  <Override PartName="/word/media/rId53.png" ContentType="image/png"/>
  <Override PartName="/word/media/rId79.png" ContentType="image/png"/>
  <Override PartName="/word/media/rId73.png" ContentType="image/png"/>
  <Override PartName="/word/media/rId61.png" ContentType="image/png"/>
  <Override PartName="/word/media/rId46.png" ContentType="image/png"/>
  <Override PartName="/word/media/rId40.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CEnTR*IMPACT</w:t>
      </w:r>
    </w:p>
    <w:p>
      <w:pPr>
        <w:pStyle w:val="Subtitle"/>
      </w:pPr>
      <w:r>
        <w:t xml:space="preserve">Community</w:t>
      </w:r>
      <w:r>
        <w:t xml:space="preserve"> </w:t>
      </w:r>
      <w:r>
        <w:t xml:space="preserve">Engaged</w:t>
      </w:r>
      <w:r>
        <w:t xml:space="preserve"> </w:t>
      </w:r>
      <w:r>
        <w:t xml:space="preserve">and</w:t>
      </w:r>
      <w:r>
        <w:t xml:space="preserve"> </w:t>
      </w:r>
      <w:r>
        <w:t xml:space="preserve">Transformative</w:t>
      </w:r>
      <w:r>
        <w:t xml:space="preserve"> </w:t>
      </w:r>
      <w:r>
        <w:t xml:space="preserve">Research</w:t>
      </w:r>
      <w:r>
        <w:t xml:space="preserve"> </w:t>
      </w:r>
      <w:r>
        <w:t xml:space="preserve">Inclusive</w:t>
      </w:r>
      <w:r>
        <w:t xml:space="preserve"> </w:t>
      </w:r>
      <w:r>
        <w:t xml:space="preserve">Measurement</w:t>
      </w:r>
      <w:r>
        <w:t xml:space="preserve"> </w:t>
      </w:r>
      <w:r>
        <w:t xml:space="preserve">of</w:t>
      </w:r>
      <w:r>
        <w:t xml:space="preserve"> </w:t>
      </w:r>
      <w:r>
        <w:t xml:space="preserve">Projects</w:t>
      </w:r>
      <w:r>
        <w:t xml:space="preserve"> </w:t>
      </w:r>
      <w:r>
        <w:t xml:space="preserve">and</w:t>
      </w:r>
      <w:r>
        <w:t xml:space="preserve"> </w:t>
      </w:r>
      <w:r>
        <w:t xml:space="preserve">Community</w:t>
      </w:r>
      <w:r>
        <w:t xml:space="preserve"> </w:t>
      </w:r>
      <w:r>
        <w:t xml:space="preserve">Transformation</w:t>
      </w:r>
    </w:p>
    <w:p>
      <w:pPr>
        <w:pStyle w:val="Author"/>
      </w:pPr>
      <w:r>
        <w:t xml:space="preserve">Jeremy</w:t>
      </w:r>
      <w:r>
        <w:t xml:space="preserve"> </w:t>
      </w:r>
      <w:r>
        <w:t xml:space="preserve">F</w:t>
      </w:r>
      <w:r>
        <w:t xml:space="preserve"> </w:t>
      </w:r>
      <w:r>
        <w:t xml:space="preserve">Price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37" w:name="introducing-centrimpact"/>
    <w:p>
      <w:pPr>
        <w:pStyle w:val="Heading1"/>
      </w:pPr>
      <w:r>
        <w:t xml:space="preserve">1. Introducing CEnTR*IMPACT</w:t>
      </w:r>
    </w:p>
    <w:p>
      <w:pPr>
        <w:pStyle w:val="BlockText"/>
      </w:pPr>
      <w:r>
        <w:rPr>
          <w:iCs/>
          <w:i/>
        </w:rPr>
        <w:t xml:space="preserve">Assistant Professor Willie Kopitar, a community-engaged scholar, is preparing their Faculty Annual Review packet at the end of the second year of a project and in their third year of being a professor. Dr. Kopitar requires a concise and easy-to-grasp set of metrics to provide the review committee, most of whom are not community engaged scholars. The review committee will be looking for outputs and impacts as the main criteria for their evaluation.</w:t>
      </w:r>
    </w:p>
    <w:p>
      <w:pPr>
        <w:pStyle w:val="BlockText"/>
      </w:pPr>
      <w:r>
        <w:rPr>
          <w:iCs/>
          <w:i/>
        </w:rPr>
        <w:t xml:space="preserve">Meanwhile, Dr. Jody Božić, project manager for a community engaged research project at a university, needs to bring the research team together to identify successes and opportunities for growth. Dr. Božić and the research team need to understand how well they are engaging and building capacity with their community partners, as well as how well matched the team’s goals are with the community’s goals. Identifying categories in which they are succeeding and areas in which they can</w:t>
      </w:r>
      <w:r>
        <w:rPr>
          <w:iCs/>
          <w:i/>
        </w:rPr>
        <w:t xml:space="preserve"> </w:t>
      </w:r>
      <w:r>
        <w:rPr>
          <w:iCs/>
          <w:i/>
        </w:rPr>
        <w:t xml:space="preserve">“</w:t>
      </w:r>
      <w:r>
        <w:rPr>
          <w:iCs/>
          <w:i/>
        </w:rPr>
        <w:t xml:space="preserve">course correct</w:t>
      </w:r>
      <w:r>
        <w:rPr>
          <w:iCs/>
          <w:i/>
        </w:rPr>
        <w:t xml:space="preserve">”</w:t>
      </w:r>
      <w:r>
        <w:rPr>
          <w:iCs/>
          <w:i/>
        </w:rPr>
        <w:t xml:space="preserve"> </w:t>
      </w:r>
      <w:r>
        <w:rPr>
          <w:iCs/>
          <w:i/>
        </w:rPr>
        <w:t xml:space="preserve">will help them to strengthen their relationships with the community and facilitate more meaningful change.</w:t>
      </w:r>
    </w:p>
    <w:p>
      <w:pPr>
        <w:pStyle w:val="BlockText"/>
      </w:pPr>
      <w:r>
        <w:rPr>
          <w:iCs/>
          <w:i/>
        </w:rPr>
        <w:t xml:space="preserve">Lastly, Dr. Nergüi Bello, Associate Professor and Director of a community engaged research center, is preparing a final project report for a funder. Dr. Bello needs to show that the funds have been well spent and that the project has resulted in lasting impacts. Dr. Bello wants to demonstrate in multiple ways the breadth, depth, and reach of the community engaged scholarship with quantitative and qualitative data as evidence.</w:t>
      </w:r>
    </w:p>
    <w:p>
      <w:pPr>
        <w:pStyle w:val="FirstParagraph"/>
      </w:pPr>
      <w:r>
        <w:t xml:space="preserve">These three community-engaged scholars are united by the need for compelling evidence that hooks busy evaluators, peers, and program officers, drawing them into the powerful stories of community relationships and dynamic change. Each scholar seeks to offer multiple entry points to fully engage others with these impactful narratives. One key entry point is through quantitative metrics—such as those provided by CEnTR*IMPACT—which offer a data-driven narrative that deepens understanding of community-engaged scholarship.</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The Goal of CEnTR*IMPACT</w:t>
            </w:r>
          </w:p>
          <w:p>
            <w:pPr>
              <w:pStyle w:val="BodyText"/>
            </w:pPr>
            <w:pPr>
              <w:spacing w:before="16" w:after="16"/>
            </w:pPr>
            <w:r>
              <w:t xml:space="preserve">The goal is to create heuristics</w:t>
            </w:r>
            <w:r>
              <w:rPr>
                <w:rStyle w:val="FootnoteReference"/>
              </w:rPr>
              <w:footnoteReference w:id="23"/>
            </w:r>
            <w:r>
              <w:t xml:space="preserve"> </w:t>
            </w:r>
            <w:r>
              <w:t xml:space="preserve">that help community engaged researchers understand and evaluate their work and to help them share their stories of their work with colleagues, funders, partners, and others in a quantitative manner and visually compelling way.</w:t>
            </w:r>
          </w:p>
        </w:tc>
      </w:tr>
    </w:tbl>
    <w:p>
      <w:pPr>
        <w:pStyle w:val="BodyText"/>
      </w:pPr>
      <w:r>
        <w:t xml:space="preserve">I began this project after a faculty meeting where I learned that our school was shifting towards valuing indicators—the</w:t>
      </w:r>
      <w:r>
        <w:t xml:space="preserve"> </w:t>
      </w:r>
      <w:r>
        <w:rPr>
          <w:iCs/>
          <w:i/>
        </w:rPr>
        <w:t xml:space="preserve">number</w:t>
      </w:r>
      <w:r>
        <w:t xml:space="preserve"> </w:t>
      </w:r>
      <w:r>
        <w:t xml:space="preserve">of things—over narratives that capture the power and impact of our work for the faculty annual review process. The draft rubric presented at the meeting did not include space for community-engaged research efforts. Given this, I decided to create a set of metrics to fill that gap. If the metrics weren’t going to be provided for me, I decided to create the metrics I wanted to be evaluated on.</w:t>
      </w:r>
    </w:p>
    <w:bookmarkStart w:id="32" w:name="situating-metrics"/>
    <w:p>
      <w:pPr>
        <w:pStyle w:val="Heading2"/>
      </w:pPr>
      <w:r>
        <w:t xml:space="preserve">1.1 Situating Metrics</w:t>
      </w:r>
    </w:p>
    <w:p>
      <w:pPr>
        <w:pStyle w:val="FirstParagraph"/>
      </w:pPr>
      <w:r>
        <w:t xml:space="preserve">Important for p&amp;t funders etc.</w:t>
      </w:r>
      <w:r>
        <w:t xml:space="preserve"> </w:t>
      </w:r>
      <w:r>
        <w:t xml:space="preserve">(Shephard et al. 2018)</w:t>
      </w:r>
      <w:r>
        <w:t xml:space="preserve"> </w:t>
      </w:r>
      <w:r>
        <w:t xml:space="preserve">(Wendling 2023)</w:t>
      </w:r>
      <w:r>
        <w:t xml:space="preserve"> </w:t>
      </w:r>
      <w:r>
        <w:t xml:space="preserve">(Lewis et al. 2023)</w:t>
      </w:r>
    </w:p>
    <w:p>
      <w:pPr>
        <w:pStyle w:val="BodyText"/>
      </w:pPr>
      <w:r>
        <w:t xml:space="preserve">Iceberg or something: metrics are the very top, shortcuts or heuristics for lots of meaning. Can/should be combined with other tools such as TRES (https://servicelearning.indianapolis.iu.edu/teaching-research/tools-instruments/tres/index.html), as these other tools provide deeper insights and more robust information. Metrics should be used to</w:t>
      </w:r>
      <w:r>
        <w:t xml:space="preserve"> </w:t>
      </w:r>
      <w:r>
        <w:rPr>
          <w:bCs/>
          <w:b/>
        </w:rPr>
        <w:t xml:space="preserve">help</w:t>
      </w:r>
      <w:r>
        <w:t xml:space="preserve"> </w:t>
      </w:r>
      <w:r>
        <w:t xml:space="preserve">tell the story, they should not be the story in and of themselves.</w:t>
      </w:r>
    </w:p>
    <w:tbl>
      <w:tblPr>
        <w:tblStyle w:val="Table"/>
        <w:tblW w:type="pct" w:w="5000"/>
        <w:tblLook w:firstRow="0" w:lastRow="0" w:firstColumn="0" w:lastColumn="0" w:noHBand="0" w:noVBand="0" w:val="0000"/>
        <w:jc w:val="start"/>
      </w:tblPr>
      <w:tblGrid>
        <w:gridCol w:w="7920"/>
      </w:tblGrid>
      <w:tr>
        <w:tc>
          <w:tcPr/>
          <w:bookmarkStart w:id="27" w:name="fig-continuum"/>
          <w:p>
            <w:pPr>
              <w:jc w:val="center"/>
            </w:pPr>
            <w:r>
              <w:drawing>
                <wp:inline>
                  <wp:extent cx="5334000" cy="2460488"/>
                  <wp:effectExtent b="0" l="0" r="0" t="0"/>
                  <wp:docPr descr="" title="" id="25" name="Picture"/>
                  <a:graphic>
                    <a:graphicData uri="http://schemas.openxmlformats.org/drawingml/2006/picture">
                      <pic:pic>
                        <pic:nvPicPr>
                          <pic:cNvPr descr="assets/images/sierpinski_triangles.png" id="26" name="Picture"/>
                          <pic:cNvPicPr>
                            <a:picLocks noChangeArrowheads="1" noChangeAspect="1"/>
                          </pic:cNvPicPr>
                        </pic:nvPicPr>
                        <pic:blipFill>
                          <a:blip r:embed="rId24"/>
                          <a:stretch>
                            <a:fillRect/>
                          </a:stretch>
                        </pic:blipFill>
                        <pic:spPr bwMode="auto">
                          <a:xfrm>
                            <a:off x="0" y="0"/>
                            <a:ext cx="5334000" cy="246048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Continuum of Reporting and Evaluation Methodologies</w:t>
            </w:r>
          </w:p>
          <w:bookmarkEnd w:id="27"/>
        </w:tc>
      </w:tr>
    </w:tbl>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9" name="Picture"/>
                  <a:graphic>
                    <a:graphicData uri="http://schemas.openxmlformats.org/drawingml/2006/picture">
                      <pic:pic>
                        <pic:nvPicPr>
                          <pic:cNvPr descr="/Applications/quarto/share/formats/docx/warning.png" id="3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Metrics as Single-Value Indicators for Consequential Decision Making</w:t>
            </w:r>
          </w:p>
          <w:p>
            <w:pPr>
              <w:pStyle w:val="BodyText"/>
            </w:pPr>
            <w:pPr>
              <w:spacing w:before="16" w:after="16"/>
            </w:pPr>
            <w:r>
              <w:t xml:space="preserve">Don’t do it.</w:t>
            </w:r>
          </w:p>
        </w:tc>
      </w:tr>
    </w:tbl>
    <w:bookmarkStart w:id="31" w:name="reorienting-metrics-to-what-matters"/>
    <w:p>
      <w:pPr>
        <w:pStyle w:val="Heading3"/>
      </w:pPr>
      <w:r>
        <w:t xml:space="preserve">1.1.1 Reorienting Metrics to What Matters</w:t>
      </w:r>
    </w:p>
    <w:p>
      <w:pPr>
        <w:pStyle w:val="FirstParagraph"/>
      </w:pPr>
      <w:r>
        <w:t xml:space="preserve">As</w:t>
      </w:r>
      <w:r>
        <w:t xml:space="preserve"> </w:t>
      </w:r>
      <w:r>
        <w:t xml:space="preserve">Hauser and Katz (1998)</w:t>
      </w:r>
      <w:r>
        <w:t xml:space="preserve"> </w:t>
      </w:r>
      <w:r>
        <w:t xml:space="preserve">have made clear,</w:t>
      </w:r>
      <w:r>
        <w:t xml:space="preserve"> </w:t>
      </w:r>
      <w:r>
        <w:t xml:space="preserve">“</w:t>
      </w:r>
      <w:r>
        <w:t xml:space="preserve">you are what you measure.</w:t>
      </w:r>
      <w:r>
        <w:t xml:space="preserve">”</w:t>
      </w:r>
    </w:p>
    <w:bookmarkEnd w:id="31"/>
    <w:bookmarkEnd w:id="32"/>
    <w:bookmarkStart w:id="36" w:name="X6209eb28ed5837c78fbb1db629617c13d163ea6"/>
    <w:p>
      <w:pPr>
        <w:pStyle w:val="Heading2"/>
      </w:pPr>
      <w:r>
        <w:t xml:space="preserve">1.2 Existing Work in Reflecting, Reporting, and Evaluating Community Engaged Scholarship</w:t>
      </w:r>
    </w:p>
    <w:p>
      <w:pPr>
        <w:pStyle w:val="FirstParagraph"/>
      </w:pPr>
      <w:r>
        <w:t xml:space="preserve">Not a comprehensive review like</w:t>
      </w:r>
      <w:r>
        <w:t xml:space="preserve"> </w:t>
      </w:r>
      <w:r>
        <w:t xml:space="preserve">(Luger, Hamilton, and True 2020)</w:t>
      </w:r>
      <w:r>
        <w:t xml:space="preserve"> </w:t>
      </w:r>
      <w:r>
        <w:t xml:space="preserve">or</w:t>
      </w:r>
      <w:r>
        <w:t xml:space="preserve"> </w:t>
      </w:r>
      <w:r>
        <w:t xml:space="preserve">(Bowen et al. 2017)</w:t>
      </w:r>
    </w:p>
    <w:bookmarkStart w:id="33" w:name="the-nature-of-partnerships"/>
    <w:p>
      <w:pPr>
        <w:pStyle w:val="Heading3"/>
      </w:pPr>
      <w:r>
        <w:t xml:space="preserve">1.2.1 The Nature of Partnerships</w:t>
      </w:r>
    </w:p>
    <w:p>
      <w:pPr>
        <w:pStyle w:val="FirstParagraph"/>
      </w:pPr>
      <w:r>
        <w:t xml:space="preserve">TRES 1.0</w:t>
      </w:r>
      <w:r>
        <w:t xml:space="preserve"> </w:t>
      </w:r>
      <w:r>
        <w:t xml:space="preserve">(Clayton et al. 2010)</w:t>
      </w:r>
    </w:p>
    <w:p>
      <w:pPr>
        <w:pStyle w:val="BodyText"/>
      </w:pPr>
      <w:r>
        <w:t xml:space="preserve">(Arora et al. 2015)</w:t>
      </w:r>
      <w:r>
        <w:t xml:space="preserve"> </w:t>
      </w:r>
      <w:r>
        <w:t xml:space="preserve">(Key et al. 2019)</w:t>
      </w:r>
      <w:r>
        <w:t xml:space="preserve"> </w:t>
      </w:r>
      <w:r>
        <w:t xml:space="preserve">(Dostilio 2014)</w:t>
      </w:r>
    </w:p>
    <w:bookmarkEnd w:id="33"/>
    <w:bookmarkStart w:id="34" w:name="processes-and-outcomes"/>
    <w:p>
      <w:pPr>
        <w:pStyle w:val="Heading3"/>
      </w:pPr>
      <w:r>
        <w:t xml:space="preserve">1.2.2 Processes and Outcomes</w:t>
      </w:r>
    </w:p>
    <w:p>
      <w:pPr>
        <w:pStyle w:val="FirstParagraph"/>
      </w:pPr>
      <w:r>
        <w:t xml:space="preserve">(Schulz, Israel, and Lantz 2003)</w:t>
      </w:r>
      <w:r>
        <w:t xml:space="preserve"> </w:t>
      </w:r>
      <w:r>
        <w:t xml:space="preserve">and TRES 2.0</w:t>
      </w:r>
      <w:r>
        <w:t xml:space="preserve"> </w:t>
      </w:r>
      <w:r>
        <w:t xml:space="preserve">(Kniffin et al. 2020)</w:t>
      </w:r>
      <w:r>
        <w:t xml:space="preserve"> </w:t>
      </w:r>
      <w:r>
        <w:t xml:space="preserve">(Goodman et al. 2017)</w:t>
      </w:r>
      <w:r>
        <w:t xml:space="preserve"> </w:t>
      </w:r>
      <w:r>
        <w:t xml:space="preserve">(Boursaw et al. 2021)</w:t>
      </w:r>
    </w:p>
    <w:bookmarkEnd w:id="34"/>
    <w:bookmarkStart w:id="35" w:name="impacts"/>
    <w:p>
      <w:pPr>
        <w:pStyle w:val="Heading3"/>
      </w:pPr>
      <w:r>
        <w:t xml:space="preserve">1.2.3 Impacts</w:t>
      </w:r>
    </w:p>
    <w:p>
      <w:pPr>
        <w:pStyle w:val="FirstParagraph"/>
      </w:pPr>
      <w:r>
        <w:t xml:space="preserve">(Alvarez et al. 2010)</w:t>
      </w:r>
      <w:r>
        <w:t xml:space="preserve"> </w:t>
      </w:r>
      <w:r>
        <w:t xml:space="preserve">(Chazdon et al. 2017)</w:t>
      </w:r>
      <w:r>
        <w:t xml:space="preserve"> </w:t>
      </w:r>
      <w:r>
        <w:t xml:space="preserve">(Reed 2015)</w:t>
      </w:r>
    </w:p>
    <w:bookmarkEnd w:id="35"/>
    <w:bookmarkEnd w:id="36"/>
    <w:bookmarkEnd w:id="37"/>
    <w:bookmarkStart w:id="85" w:name="the-centrimpact-development-process"/>
    <w:p>
      <w:pPr>
        <w:pStyle w:val="Heading1"/>
      </w:pPr>
      <w:r>
        <w:t xml:space="preserve">2. The CEnTR*IMPACT Development Process</w:t>
      </w:r>
    </w:p>
    <w:p>
      <w:pPr>
        <w:pStyle w:val="FirstParagraph"/>
      </w:pPr>
      <w:r>
        <w:t xml:space="preserve">As CEnTR*IMPACT emerged from CER*BEANS, the focus was on expanding and refining a set of metrics based on ongoing feedback from an expert panel. The process in developing CEnTR*IMPACT included the following components:</w:t>
      </w:r>
    </w:p>
    <w:p>
      <w:pPr>
        <w:numPr>
          <w:ilvl w:val="0"/>
          <w:numId w:val="1001"/>
        </w:numPr>
        <w:pStyle w:val="Compact"/>
      </w:pPr>
      <w:r>
        <w:rPr>
          <w:iCs/>
          <w:i/>
        </w:rPr>
        <w:t xml:space="preserve">Priority Mapping</w:t>
      </w:r>
      <w:r>
        <w:t xml:space="preserve"> </w:t>
      </w:r>
      <w:r>
        <w:t xml:space="preserve">to identify and sharpen the salient factors that contribute to community engaged research efforts;</w:t>
      </w:r>
    </w:p>
    <w:p>
      <w:pPr>
        <w:numPr>
          <w:ilvl w:val="0"/>
          <w:numId w:val="1001"/>
        </w:numPr>
        <w:pStyle w:val="Compact"/>
      </w:pPr>
      <w:r>
        <w:rPr>
          <w:iCs/>
          <w:i/>
        </w:rPr>
        <w:t xml:space="preserve">Direct Indicator Scores</w:t>
      </w:r>
      <w:r>
        <w:t xml:space="preserve"> </w:t>
      </w:r>
      <w:r>
        <w:t xml:space="preserve">(</w:t>
      </w:r>
      <m:oMath>
        <m:sSub>
          <m:e>
            <m:r>
              <m:t>S</m:t>
            </m:r>
          </m:e>
          <m:sub>
            <m:r>
              <m:t>I</m:t>
            </m:r>
          </m:sub>
        </m:sSub>
      </m:oMath>
      <w:r>
        <w:t xml:space="preserve">) which include measures such as contact hours, individuals served, and number of products created.</w:t>
      </w:r>
    </w:p>
    <w:p>
      <w:pPr>
        <w:numPr>
          <w:ilvl w:val="0"/>
          <w:numId w:val="1001"/>
        </w:numPr>
        <w:pStyle w:val="Compact"/>
      </w:pPr>
      <w:r>
        <w:rPr>
          <w:iCs/>
          <w:i/>
        </w:rPr>
        <w:t xml:space="preserve">Alignment Score Development</w:t>
      </w:r>
      <w:r>
        <w:t xml:space="preserve"> </w:t>
      </w:r>
      <w:r>
        <w:t xml:space="preserve">(</w:t>
      </w:r>
      <m:oMath>
        <m:sSub>
          <m:e>
            <m:r>
              <m:t>S</m:t>
            </m:r>
          </m:e>
          <m:sub>
            <m:r>
              <m:t>A</m:t>
            </m:r>
          </m:sub>
        </m:sSub>
      </m:oMath>
      <w:r>
        <w:t xml:space="preserve">) to create a way to demonstrate alignment between the research team and community partners;</w:t>
      </w:r>
    </w:p>
    <w:p>
      <w:pPr>
        <w:numPr>
          <w:ilvl w:val="0"/>
          <w:numId w:val="1001"/>
        </w:numPr>
        <w:pStyle w:val="Compact"/>
      </w:pPr>
      <w:r>
        <w:rPr>
          <w:iCs/>
          <w:i/>
        </w:rPr>
        <w:t xml:space="preserve">Project Dynamics Score Development</w:t>
      </w:r>
      <w:r>
        <w:t xml:space="preserve"> </w:t>
      </w:r>
      <w:r>
        <w:t xml:space="preserve">(</w:t>
      </w:r>
      <m:oMath>
        <m:sSub>
          <m:e>
            <m:r>
              <m:t>S</m:t>
            </m:r>
          </m:e>
          <m:sub>
            <m:r>
              <m:t>D</m:t>
            </m:r>
          </m:sub>
        </m:sSub>
      </m:oMath>
      <w:r>
        <w:t xml:space="preserve">) to design scores that demonstrate the workings and outcomes of the research project, which included determining weightings of the descriptors; and</w:t>
      </w:r>
    </w:p>
    <w:p>
      <w:pPr>
        <w:numPr>
          <w:ilvl w:val="0"/>
          <w:numId w:val="1001"/>
        </w:numPr>
        <w:pStyle w:val="Compact"/>
      </w:pPr>
      <w:r>
        <w:rPr>
          <w:iCs/>
          <w:i/>
        </w:rPr>
        <w:t xml:space="preserve">Cascade Effects Score Development</w:t>
      </w:r>
      <w:r>
        <w:t xml:space="preserve"> </w:t>
      </w:r>
      <w:r>
        <w:t xml:space="preserve">(</w:t>
      </w:r>
      <m:oMath>
        <m:sSub>
          <m:e>
            <m:r>
              <m:t>S</m:t>
            </m:r>
          </m:e>
          <m:sub>
            <m:r>
              <m:t>C</m:t>
            </m:r>
          </m:sub>
        </m:sSub>
      </m:oMath>
      <w:r>
        <w:t xml:space="preserve">) to develop a way to understand the social reach of the project.</w:t>
      </w:r>
    </w:p>
    <w:p>
      <w:pPr>
        <w:pStyle w:val="FirstParagraph"/>
      </w:pPr>
      <w:r>
        <w:t xml:space="preserve">The expert panel that contributed to these efforts was comprised of faculty and staff from across the Indiana University system drawn from three groups. The first group is comprised of those faculty and staff designated as</w:t>
      </w:r>
      <w:r>
        <w:t xml:space="preserve"> </w:t>
      </w:r>
      <w:r>
        <w:rPr>
          <w:iCs/>
          <w:i/>
        </w:rPr>
        <w:t xml:space="preserve">Collaboratory Administrators</w:t>
      </w:r>
      <w:r>
        <w:t xml:space="preserve">. These individuals have been selected to lead the effort of tracking community engaged projects with the</w:t>
      </w:r>
      <w:r>
        <w:t xml:space="preserve"> </w:t>
      </w:r>
      <w:hyperlink r:id="rId38">
        <w:r>
          <w:rPr>
            <w:rStyle w:val="Hyperlink"/>
          </w:rPr>
          <w:t xml:space="preserve">Collaboratory</w:t>
        </w:r>
      </w:hyperlink>
      <w:r>
        <w:t xml:space="preserve"> </w:t>
      </w:r>
      <w:r>
        <w:t xml:space="preserve">on their campus. The Collaboratory Administrators then</w:t>
      </w:r>
      <w:r>
        <w:t xml:space="preserve"> </w:t>
      </w:r>
      <w:r>
        <w:rPr>
          <w:iCs/>
          <w:i/>
        </w:rPr>
        <w:t xml:space="preserve">identified five community engaged scholars</w:t>
      </w:r>
      <w:r>
        <w:t xml:space="preserve"> </w:t>
      </w:r>
      <w:r>
        <w:t xml:space="preserve">on their respective campuses to comprise the second group. These scholars in the first and second groups were invited to participate in the process from beginning to end, and contributed their expertise to reduce and clarify the factors that contribute to the scores and in developing the weightings for each descriptor. The third group is comprised of</w:t>
      </w:r>
      <w:r>
        <w:t xml:space="preserve"> </w:t>
      </w:r>
      <w:r>
        <w:rPr>
          <w:iCs/>
          <w:i/>
        </w:rPr>
        <w:t xml:space="preserve">community engaged scholars who volunteered to contribute</w:t>
      </w:r>
      <w:r>
        <w:t xml:space="preserve"> </w:t>
      </w:r>
      <w:r>
        <w:t xml:space="preserve">to this effort following the kick-off meeting of the</w:t>
      </w:r>
      <w:r>
        <w:t xml:space="preserve"> </w:t>
      </w:r>
      <w:hyperlink r:id="rId39">
        <w:r>
          <w:rPr>
            <w:rStyle w:val="Hyperlink"/>
          </w:rPr>
          <w:t xml:space="preserve">Consortium for Community-Engaged Research to Impact Health Equity</w:t>
        </w:r>
      </w:hyperlink>
      <w:r>
        <w:t xml:space="preserve"> </w:t>
      </w:r>
      <w:r>
        <w:t xml:space="preserve">based at IU Indianapolis. The scholars in the third group contributed to the weightings determinations.</w:t>
      </w:r>
    </w:p>
    <w:p>
      <w:pPr>
        <w:pStyle w:val="BodyText"/>
      </w:pPr>
      <w:r>
        <w:t xml:space="preserve">Every effort was made to ensure the anonymity, confidentiality, and safety of the participants and received IRB approval on February 25, 2024 (IRB #22150). A great deal of gratitude is extended to these community engaged scholars for their time, their thoughtfulness, and their feedback.</w:t>
      </w:r>
    </w:p>
    <w:bookmarkStart w:id="45" w:name="priority-mapping"/>
    <w:p>
      <w:pPr>
        <w:pStyle w:val="Heading2"/>
      </w:pPr>
      <w:r>
        <w:t xml:space="preserve">2.1 Priority Mapping</w:t>
      </w:r>
    </w:p>
    <w:p>
      <w:pPr>
        <w:pStyle w:val="FirstParagraph"/>
      </w:pPr>
      <w:r>
        <w:t xml:space="preserve">We began with a Priority Mapping exercise, using a Q Sort methodology with community engaged researchers from groups 1 and 2 to ensure the metrics reflect the needs and experiences of community engaged scholars and institutions. This process allowed us to systematically identify and rank the most salient aspects of community engaged research, providing a robust foundation for our metric development. Seven scholars from group 1 and 11 scholars from group 2 participated.</w:t>
      </w:r>
    </w:p>
    <w:p>
      <w:pPr>
        <w:pStyle w:val="BodyText"/>
      </w:pPr>
      <w:r>
        <w:t xml:space="preserve">The Q sort methodology</w:t>
      </w:r>
      <w:r>
        <w:t xml:space="preserve"> </w:t>
      </w:r>
      <w:r>
        <w:t xml:space="preserve">(Morrison and Wagner 2017; Mukherjee et al. 2018; Environmental Quality 2022)</w:t>
      </w:r>
      <w:r>
        <w:t xml:space="preserve"> </w:t>
      </w:r>
      <w:r>
        <w:t xml:space="preserve">involves a sorting activity, where participants place statements in order of importance on a two-dimensional grid. See</w:t>
      </w:r>
      <w:r>
        <w:t xml:space="preserve"> </w:t>
      </w:r>
      <w:hyperlink w:anchor="fig-qsort">
        <w:r>
          <w:rPr>
            <w:rStyle w:val="Hyperlink"/>
          </w:rPr>
          <w:t xml:space="preserve">Figure 2</w:t>
        </w:r>
      </w:hyperlink>
      <w:r>
        <w:t xml:space="preserve"> </w:t>
      </w:r>
      <w:r>
        <w:t xml:space="preserve">for an example Q Sort. The Q Sort methodology involves a factor analysis to understand how the responses grouped together. Another product of the analysis is</w:t>
      </w:r>
      <w:r>
        <w:t xml:space="preserve"> </w:t>
      </w:r>
      <w:r>
        <w:t xml:space="preserve">“</w:t>
      </w:r>
      <w:r>
        <w:t xml:space="preserve">Q Sort Value,</w:t>
      </w:r>
      <w:r>
        <w:t xml:space="preserve">”</w:t>
      </w:r>
      <w:r>
        <w:t xml:space="preserve"> </w:t>
      </w:r>
      <w:r>
        <w:t xml:space="preserve">which provides an indication of the relative importance of the statement based on the collective sorting process. Q Sort Values range from 3 (highest) to -3 (lowest). The web-based Q-TIP platform</w:t>
      </w:r>
      <w:r>
        <w:t xml:space="preserve"> </w:t>
      </w:r>
      <w:r>
        <w:t xml:space="preserve">(Robertson, Nost, and Lave n.d.)</w:t>
      </w:r>
      <w:r>
        <w:t xml:space="preserve"> </w:t>
      </w:r>
      <w:r>
        <w:t xml:space="preserve">was used to collect the data and the desktop app KADE</w:t>
      </w:r>
      <w:r>
        <w:t xml:space="preserve"> </w:t>
      </w:r>
      <w:r>
        <w:t xml:space="preserve">(Banasick 2019)</w:t>
      </w:r>
      <w:r>
        <w:t xml:space="preserve"> </w:t>
      </w:r>
      <w:r>
        <w:t xml:space="preserve">was used to analyze the data.</w:t>
      </w:r>
    </w:p>
    <w:tbl>
      <w:tblPr>
        <w:tblStyle w:val="Table"/>
        <w:tblW w:type="pct" w:w="5000"/>
        <w:tblLook w:firstRow="0" w:lastRow="0" w:firstColumn="0" w:lastColumn="0" w:noHBand="0" w:noVBand="0" w:val="0000"/>
        <w:jc w:val="start"/>
      </w:tblPr>
      <w:tblGrid>
        <w:gridCol w:w="7920"/>
      </w:tblGrid>
      <w:tr>
        <w:tc>
          <w:tcPr/>
          <w:bookmarkStart w:id="43" w:name="fig-qsort"/>
          <w:p>
            <w:pPr>
              <w:jc w:val="center"/>
            </w:pPr>
            <w:r>
              <w:drawing>
                <wp:inline>
                  <wp:extent cx="5334000" cy="2654766"/>
                  <wp:effectExtent b="0" l="0" r="0" t="0"/>
                  <wp:docPr descr="" title="" id="41" name="Picture"/>
                  <a:graphic>
                    <a:graphicData uri="http://schemas.openxmlformats.org/drawingml/2006/picture">
                      <pic:pic>
                        <pic:nvPicPr>
                          <pic:cNvPr descr="assets/images/qsort.png" id="42" name="Picture"/>
                          <pic:cNvPicPr>
                            <a:picLocks noChangeArrowheads="1" noChangeAspect="1"/>
                          </pic:cNvPicPr>
                        </pic:nvPicPr>
                        <pic:blipFill>
                          <a:blip r:embed="rId40"/>
                          <a:stretch>
                            <a:fillRect/>
                          </a:stretch>
                        </pic:blipFill>
                        <pic:spPr bwMode="auto">
                          <a:xfrm>
                            <a:off x="0" y="0"/>
                            <a:ext cx="5334000" cy="2654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Example Completed Q Sort</w:t>
            </w:r>
          </w:p>
          <w:bookmarkEnd w:id="43"/>
        </w:tc>
      </w:tr>
    </w:tbl>
    <w:p>
      <w:pPr>
        <w:pStyle w:val="BodyText"/>
      </w:pPr>
      <w:r>
        <w:t xml:space="preserve">Through the Q Sort analysis, two factors (groups of ranked items) were identified (see</w:t>
      </w:r>
      <w:r>
        <w:t xml:space="preserve"> </w:t>
      </w:r>
      <w:hyperlink w:anchor="tbl-qsort">
        <w:r>
          <w:rPr>
            <w:rStyle w:val="Hyperlink"/>
          </w:rPr>
          <w:t xml:space="preserve">Table 2</w:t>
        </w:r>
      </w:hyperlink>
      <w:r>
        <w:t xml:space="preserve">). By examining the Q Sort Values of the statements, I determined that the ranked statements in each group represented the following ideas:</w:t>
      </w:r>
    </w:p>
    <w:p>
      <w:pPr>
        <w:numPr>
          <w:ilvl w:val="0"/>
          <w:numId w:val="1002"/>
        </w:numPr>
        <w:pStyle w:val="Compact"/>
      </w:pPr>
      <w:r>
        <w:rPr>
          <w:iCs/>
          <w:i/>
        </w:rPr>
        <w:t xml:space="preserve">Alignment and Values</w:t>
      </w:r>
    </w:p>
    <w:p>
      <w:pPr>
        <w:numPr>
          <w:ilvl w:val="0"/>
          <w:numId w:val="1002"/>
        </w:numPr>
        <w:pStyle w:val="Compact"/>
      </w:pPr>
      <w:r>
        <w:rPr>
          <w:iCs/>
          <w:i/>
        </w:rPr>
        <w:t xml:space="preserve">Purposes and Processes</w:t>
      </w:r>
    </w:p>
    <w:p>
      <w:pPr>
        <w:pStyle w:val="FirstParagraph"/>
      </w:pPr>
      <w:r>
        <w:t xml:space="preserve">The first group,</w:t>
      </w:r>
      <w:r>
        <w:t xml:space="preserve"> </w:t>
      </w:r>
      <w:r>
        <w:rPr>
          <w:iCs/>
          <w:i/>
        </w:rPr>
        <w:t xml:space="preserve">Alignment and Values</w:t>
      </w:r>
      <w:r>
        <w:t xml:space="preserve">, demonstrated that members of the expert panel ranked ideas such as shared decision making, prioritizing community needs, and the importance of relationship building and sustainable partnerships highly. Indicators such as contact hours or individuals served received low Q Sort Values, suggesting that these direct measures are not as important as the ways in which the scholars and community partners interact towards good outcomes.</w:t>
      </w:r>
    </w:p>
    <w:p>
      <w:pPr>
        <w:pStyle w:val="BodyText"/>
      </w:pPr>
      <w:r>
        <w:t xml:space="preserve">I labeled the second group as</w:t>
      </w:r>
      <w:r>
        <w:t xml:space="preserve"> </w:t>
      </w:r>
      <w:r>
        <w:rPr>
          <w:iCs/>
          <w:i/>
        </w:rPr>
        <w:t xml:space="preserve">Purposes and Processes</w:t>
      </w:r>
      <w:r>
        <w:t xml:space="preserve"> </w:t>
      </w:r>
      <w:r>
        <w:t xml:space="preserve">as the statements with the highest Q Sort Values involved purposeful approaches and an emphasis on co-constructing the infrastructures and practices necessary for good outcomes. Interestingly, statements reflecting service learning</w:t>
      </w:r>
      <w:r>
        <w:rPr>
          <w:rStyle w:val="FootnoteReference"/>
        </w:rPr>
        <w:footnoteReference w:id="44"/>
      </w:r>
      <w:r>
        <w:t xml:space="preserve"> </w:t>
      </w:r>
      <w:r>
        <w:t xml:space="preserve">received low Q Sort Scores in a way that was not evident in the first group.</w:t>
      </w:r>
    </w:p>
    <w:p>
      <w:pPr>
        <w:pStyle w:val="BodyText"/>
      </w:pPr>
      <w:r>
        <w:t xml:space="preserve">It’s also important to highlight that the statement</w:t>
      </w:r>
      <w:r>
        <w:t xml:space="preserve"> </w:t>
      </w:r>
      <w:r>
        <w:t xml:space="preserve">“</w:t>
      </w:r>
      <w:r>
        <w:t xml:space="preserve">An indicator of success for a community-engaged research project is the degree to which the products created are prioritized to include what the participants want or need</w:t>
      </w:r>
      <w:r>
        <w:t xml:space="preserve">”</w:t>
      </w:r>
      <w:r>
        <w:t xml:space="preserve"> </w:t>
      </w:r>
      <w:r>
        <w:t xml:space="preserve">received a Q Sort Value of 3 from both groups. Similarly, the statement</w:t>
      </w:r>
      <w:r>
        <w:t xml:space="preserve"> </w:t>
      </w:r>
      <w:r>
        <w:t xml:space="preserve">“</w:t>
      </w:r>
      <w:r>
        <w:t xml:space="preserve">An indicator of success for a community-engaged research project is how well set up it is to be sustainable beyond the participation of the research team</w:t>
      </w:r>
      <w:r>
        <w:t xml:space="preserve">”</w:t>
      </w:r>
      <w:r>
        <w:t xml:space="preserve"> </w:t>
      </w:r>
      <w:r>
        <w:t xml:space="preserve">received a Q Sort Value of 2 from both groups. These high rankings suggest that prioritizing the needs and wants of the community and ensuring the project’s sustainability are both crucial elements of community-engaged research.</w:t>
      </w:r>
    </w:p>
    <w:p>
      <w:pPr>
        <w:pStyle w:val="BodyText"/>
      </w:pPr>
      <w:r>
        <w:t xml:space="preserve">This priority mapping process made clear that CEnTR*IMPACT would require metrics that provide information about the</w:t>
      </w:r>
      <w:r>
        <w:t xml:space="preserve"> </w:t>
      </w:r>
      <w:r>
        <w:rPr>
          <w:iCs/>
          <w:i/>
        </w:rPr>
        <w:t xml:space="preserve">alignment</w:t>
      </w:r>
      <w:r>
        <w:t xml:space="preserve"> </w:t>
      </w:r>
      <w:r>
        <w:t xml:space="preserve">between the researchers and the community partners. Priority Mapping also illuminated the necessity of including the concepts of</w:t>
      </w:r>
      <w:r>
        <w:t xml:space="preserve"> </w:t>
      </w:r>
      <w:r>
        <w:rPr>
          <w:iCs/>
          <w:i/>
        </w:rPr>
        <w:t xml:space="preserve">values,</w:t>
      </w:r>
      <w:r>
        <w:t xml:space="preserve"> </w:t>
      </w:r>
      <w:r>
        <w:rPr>
          <w:iCs/>
          <w:i/>
        </w:rPr>
        <w:t xml:space="preserve">purposes,</w:t>
      </w:r>
      <w:r>
        <w:t xml:space="preserve"> </w:t>
      </w:r>
      <w:r>
        <w:t xml:space="preserve">and</w:t>
      </w:r>
      <w:r>
        <w:t xml:space="preserve"> </w:t>
      </w:r>
      <w:r>
        <w:rPr>
          <w:iCs/>
          <w:i/>
        </w:rPr>
        <w:t xml:space="preserve">processes</w:t>
      </w:r>
      <w:r>
        <w:t xml:space="preserve"> </w:t>
      </w:r>
      <w:r>
        <w:t xml:space="preserve">in evaluating and reporting on community engaged research projects. As such, an entirely new category of metrics, Alignment Scores, were added to the CEnTR*IMPACT ensemble. Additionally, an intentional reorientation toward the Community-Based Participatory Research model</w:t>
      </w:r>
      <w:r>
        <w:t xml:space="preserve"> </w:t>
      </w:r>
      <w:r>
        <w:t xml:space="preserve">(e.g., Wallerstein et al. 2008; Wallerstein and Duran 2010; Wallerstein et al. 2020; Belone et al. 2016)</w:t>
      </w:r>
      <w:r>
        <w:t xml:space="preserve">, which includes a focus on these concepts, for developing the CEnTR*IMPACT Project Dynamics Scores.</w:t>
      </w:r>
    </w:p>
    <w:bookmarkEnd w:id="45"/>
    <w:bookmarkStart w:id="51" w:name="direct-indicator-scores"/>
    <w:p>
      <w:pPr>
        <w:pStyle w:val="Heading2"/>
      </w:pPr>
      <w:r>
        <w:t xml:space="preserve">2.2 Direct Indicator Scores</w:t>
      </w:r>
    </w:p>
    <w:p>
      <w:pPr>
        <w:pStyle w:val="FirstParagraph"/>
      </w:pPr>
      <w:r>
        <w:rPr>
          <w:iCs/>
          <w:i/>
        </w:rPr>
        <w:t xml:space="preserve">Direct Indicator Scores</w:t>
      </w:r>
      <w:r>
        <w:t xml:space="preserve"> </w:t>
      </w:r>
      <w:r>
        <w:t xml:space="preserve">provide an opportunity to include such measures as contact hours, individuals served, products created, etc. These direct indicators are often requested and required by funders or administrators in one form or another. It was therefore decided that Direct Indicator Scores—which are technically indicators rather than metrics, as described in the Introduction—would be included within the ensemble of CEnTR*IMPACT metrics.</w:t>
      </w:r>
    </w:p>
    <w:bookmarkStart w:id="50" w:name="example-direct-indicators-visualization"/>
    <w:p>
      <w:pPr>
        <w:pStyle w:val="Heading3"/>
      </w:pPr>
      <w:r>
        <w:t xml:space="preserve">2.2.1 Example Direct Indicators Visualization</w:t>
      </w:r>
    </w:p>
    <w:tbl>
      <w:tblPr>
        <w:tblStyle w:val="Table"/>
        <w:tblW w:type="pct" w:w="5000"/>
        <w:tblLook w:firstRow="0" w:lastRow="0" w:firstColumn="0" w:lastColumn="0" w:noHBand="0" w:noVBand="0" w:val="0000"/>
        <w:jc w:val="start"/>
      </w:tblPr>
      <w:tblGrid>
        <w:gridCol w:w="7920"/>
      </w:tblGrid>
      <w:tr>
        <w:tc>
          <w:tcPr/>
          <w:bookmarkStart w:id="49" w:name="fig-indicator"/>
          <w:p>
            <w:pPr>
              <w:jc w:val="center"/>
            </w:pPr>
            <w:r>
              <w:drawing>
                <wp:inline>
                  <wp:extent cx="5334000" cy="1478096"/>
                  <wp:effectExtent b="0" l="0" r="0" t="0"/>
                  <wp:docPr descr="" title="" id="47" name="Picture"/>
                  <a:graphic>
                    <a:graphicData uri="http://schemas.openxmlformats.org/drawingml/2006/picture">
                      <pic:pic>
                        <pic:nvPicPr>
                          <pic:cNvPr descr="assets/images/indicator_visual.png" id="48" name="Picture"/>
                          <pic:cNvPicPr>
                            <a:picLocks noChangeArrowheads="1" noChangeAspect="1"/>
                          </pic:cNvPicPr>
                        </pic:nvPicPr>
                        <pic:blipFill>
                          <a:blip r:embed="rId46"/>
                          <a:stretch>
                            <a:fillRect/>
                          </a:stretch>
                        </pic:blipFill>
                        <pic:spPr bwMode="auto">
                          <a:xfrm>
                            <a:off x="0" y="0"/>
                            <a:ext cx="5334000" cy="14780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Example Direct Indicator Score Visualization</w:t>
            </w:r>
          </w:p>
          <w:bookmarkEnd w:id="49"/>
        </w:tc>
      </w:tr>
    </w:tbl>
    <w:p>
      <w:pPr>
        <w:pStyle w:val="BodyText"/>
      </w:pPr>
      <w:r>
        <w:t xml:space="preserve">The direct indicators are</w:t>
      </w:r>
      <w:r>
        <w:t xml:space="preserve"> </w:t>
      </w:r>
      <w:r>
        <w:rPr>
          <w:bCs/>
          <w:b/>
        </w:rPr>
        <w:t xml:space="preserve">raw numbers</w:t>
      </w:r>
      <w:r>
        <w:t xml:space="preserve"> </w:t>
      </w:r>
      <w:r>
        <w:t xml:space="preserve">representing quantities, as illustrated in</w:t>
      </w:r>
      <w:r>
        <w:t xml:space="preserve"> </w:t>
      </w:r>
      <w:hyperlink w:anchor="fig-indicator">
        <w:r>
          <w:rPr>
            <w:rStyle w:val="Hyperlink"/>
          </w:rPr>
          <w:t xml:space="preserve">Figure 3</w:t>
        </w:r>
      </w:hyperlink>
      <w:r>
        <w:t xml:space="preserve">. The direct indicators measured as a part of CEnTR*IMPACT are:</w:t>
      </w:r>
    </w:p>
    <w:p>
      <w:pPr>
        <w:numPr>
          <w:ilvl w:val="0"/>
          <w:numId w:val="1003"/>
        </w:numPr>
        <w:pStyle w:val="Compact"/>
      </w:pPr>
      <w:r>
        <w:rPr>
          <w:bCs/>
          <w:b/>
        </w:rPr>
        <w:t xml:space="preserve">Community Partners</w:t>
      </w:r>
      <w:r>
        <w:t xml:space="preserve">, the number of partner instituations;</w:t>
      </w:r>
    </w:p>
    <w:p>
      <w:pPr>
        <w:numPr>
          <w:ilvl w:val="0"/>
          <w:numId w:val="1003"/>
        </w:numPr>
        <w:pStyle w:val="Compact"/>
      </w:pPr>
      <w:r>
        <w:rPr>
          <w:bCs/>
          <w:b/>
        </w:rPr>
        <w:t xml:space="preserve">Engagement Hours</w:t>
      </w:r>
      <w:r>
        <w:t xml:space="preserve">, the amount of time spent working together;</w:t>
      </w:r>
    </w:p>
    <w:p>
      <w:pPr>
        <w:numPr>
          <w:ilvl w:val="0"/>
          <w:numId w:val="1003"/>
        </w:numPr>
        <w:pStyle w:val="Compact"/>
      </w:pPr>
      <w:r>
        <w:rPr>
          <w:bCs/>
          <w:b/>
        </w:rPr>
        <w:t xml:space="preserve">Individuals Served</w:t>
      </w:r>
      <w:r>
        <w:t xml:space="preserve">, the total number of attendees and participants at events and meetings;</w:t>
      </w:r>
    </w:p>
    <w:p>
      <w:pPr>
        <w:numPr>
          <w:ilvl w:val="0"/>
          <w:numId w:val="1003"/>
        </w:numPr>
        <w:pStyle w:val="Compact"/>
      </w:pPr>
      <w:r>
        <w:rPr>
          <w:bCs/>
          <w:b/>
        </w:rPr>
        <w:t xml:space="preserve">Infrastructure Tools</w:t>
      </w:r>
      <w:r>
        <w:t xml:space="preserve">, the total number of tools, documents, processes created to ensure fairness and accountability through the partnership;</w:t>
      </w:r>
    </w:p>
    <w:p>
      <w:pPr>
        <w:numPr>
          <w:ilvl w:val="0"/>
          <w:numId w:val="1003"/>
        </w:numPr>
        <w:pStyle w:val="Compact"/>
      </w:pPr>
      <w:r>
        <w:rPr>
          <w:bCs/>
          <w:b/>
        </w:rPr>
        <w:t xml:space="preserve">Output Products</w:t>
      </w:r>
      <w:r>
        <w:t xml:space="preserve">, the total number of products—e.g., community-facing, scholar-facing—created;</w:t>
      </w:r>
    </w:p>
    <w:p>
      <w:pPr>
        <w:numPr>
          <w:ilvl w:val="0"/>
          <w:numId w:val="1003"/>
        </w:numPr>
        <w:pStyle w:val="Compact"/>
      </w:pPr>
      <w:r>
        <w:rPr>
          <w:bCs/>
          <w:b/>
        </w:rPr>
        <w:t xml:space="preserve">Students Involved</w:t>
      </w:r>
      <w:r>
        <w:t xml:space="preserve">, if engaged learning is a component of the project; and</w:t>
      </w:r>
    </w:p>
    <w:p>
      <w:pPr>
        <w:numPr>
          <w:ilvl w:val="0"/>
          <w:numId w:val="1003"/>
        </w:numPr>
        <w:pStyle w:val="Compact"/>
      </w:pPr>
      <w:r>
        <w:rPr>
          <w:bCs/>
          <w:b/>
        </w:rPr>
        <w:t xml:space="preserve">Successful Outcomes</w:t>
      </w:r>
      <w:r>
        <w:t xml:space="preserve">, the number of agreed-to outcomes that have been met through the project.</w:t>
      </w:r>
    </w:p>
    <w:bookmarkEnd w:id="50"/>
    <w:bookmarkEnd w:id="51"/>
    <w:bookmarkStart w:id="59" w:name="alignment-score-development"/>
    <w:p>
      <w:pPr>
        <w:pStyle w:val="Heading2"/>
      </w:pPr>
      <w:r>
        <w:t xml:space="preserve">2.3 Alignment Score Development</w:t>
      </w:r>
    </w:p>
    <w:p>
      <w:pPr>
        <w:pStyle w:val="FirstParagraph"/>
      </w:pPr>
      <w:r>
        <w:t xml:space="preserve">As noted above, the Priority Mapping step above led to the design and inclusion of a set of Alignment Scores. These Alignment Scores are designed to illuminate the</w:t>
      </w:r>
      <w:r>
        <w:t xml:space="preserve"> </w:t>
      </w:r>
      <w:r>
        <w:rPr>
          <w:bCs/>
          <w:b/>
        </w:rPr>
        <w:t xml:space="preserve">degree of alignment</w:t>
      </w:r>
      <w:r>
        <w:t xml:space="preserve"> </w:t>
      </w:r>
      <w:r>
        <w:t xml:space="preserve">as self-reported by the scholars and the community partners. Alignment is defined here as how much the research team and the partners agree on how different parts of the project are being carried out. The factors for which alignment is measured emerge from both the CBPR model</w:t>
      </w:r>
      <w:r>
        <w:t xml:space="preserve"> </w:t>
      </w:r>
      <w:r>
        <w:t xml:space="preserve">(Wallerstein et al. 2008; Wallerstein and Duran 2010; Wallerstein et al. 2020)</w:t>
      </w:r>
      <w:r>
        <w:t xml:space="preserve"> </w:t>
      </w:r>
      <w:r>
        <w:t xml:space="preserve">and the results from the Priority Mapping. The eight factors of the project that are measured are as follows:</w:t>
      </w:r>
    </w:p>
    <w:p>
      <w:pPr>
        <w:numPr>
          <w:ilvl w:val="0"/>
          <w:numId w:val="1004"/>
        </w:numPr>
        <w:pStyle w:val="Compact"/>
      </w:pPr>
      <w:r>
        <w:rPr>
          <w:bCs/>
          <w:b/>
        </w:rPr>
        <w:t xml:space="preserve">Goals and Purposes</w:t>
      </w:r>
      <w:r>
        <w:t xml:space="preserve"> </w:t>
      </w:r>
      <w:r>
        <w:t xml:space="preserve">of the project;</w:t>
      </w:r>
    </w:p>
    <w:p>
      <w:pPr>
        <w:numPr>
          <w:ilvl w:val="0"/>
          <w:numId w:val="1004"/>
        </w:numPr>
        <w:pStyle w:val="Compact"/>
      </w:pPr>
      <w:r>
        <w:rPr>
          <w:bCs/>
          <w:b/>
        </w:rPr>
        <w:t xml:space="preserve">Values and Ideals</w:t>
      </w:r>
      <w:r>
        <w:t xml:space="preserve"> </w:t>
      </w:r>
      <w:r>
        <w:t xml:space="preserve">that guide the project;</w:t>
      </w:r>
    </w:p>
    <w:p>
      <w:pPr>
        <w:numPr>
          <w:ilvl w:val="0"/>
          <w:numId w:val="1004"/>
        </w:numPr>
        <w:pStyle w:val="Compact"/>
      </w:pPr>
      <w:r>
        <w:t xml:space="preserve">Setting the</w:t>
      </w:r>
      <w:r>
        <w:t xml:space="preserve"> </w:t>
      </w:r>
      <w:r>
        <w:rPr>
          <w:bCs/>
          <w:b/>
        </w:rPr>
        <w:t xml:space="preserve">Roles and Responsibilities</w:t>
      </w:r>
      <w:r>
        <w:t xml:space="preserve"> </w:t>
      </w:r>
      <w:r>
        <w:t xml:space="preserve">between the research team and the community partners;</w:t>
      </w:r>
    </w:p>
    <w:p>
      <w:pPr>
        <w:numPr>
          <w:ilvl w:val="0"/>
          <w:numId w:val="1004"/>
        </w:numPr>
        <w:pStyle w:val="Compact"/>
      </w:pPr>
      <w:r>
        <w:rPr>
          <w:bCs/>
          <w:b/>
        </w:rPr>
        <w:t xml:space="preserve">Managing the Resources</w:t>
      </w:r>
      <w:r>
        <w:t xml:space="preserve"> </w:t>
      </w:r>
      <w:r>
        <w:t xml:space="preserve">that move the project forward;</w:t>
      </w:r>
    </w:p>
    <w:p>
      <w:pPr>
        <w:numPr>
          <w:ilvl w:val="0"/>
          <w:numId w:val="1004"/>
        </w:numPr>
        <w:pStyle w:val="Compact"/>
      </w:pPr>
      <w:r>
        <w:rPr>
          <w:bCs/>
          <w:b/>
        </w:rPr>
        <w:t xml:space="preserve">Designing and Facilitating the Activities and Events</w:t>
      </w:r>
      <w:r>
        <w:t xml:space="preserve"> </w:t>
      </w:r>
      <w:r>
        <w:t xml:space="preserve">for the good of the community in the project;</w:t>
      </w:r>
    </w:p>
    <w:p>
      <w:pPr>
        <w:numPr>
          <w:ilvl w:val="0"/>
          <w:numId w:val="1004"/>
        </w:numPr>
        <w:pStyle w:val="Compact"/>
      </w:pPr>
      <w:r>
        <w:rPr>
          <w:bCs/>
          <w:b/>
        </w:rPr>
        <w:t xml:space="preserve">Empowering the Culture, Knowledge and Language of the Community</w:t>
      </w:r>
      <w:r>
        <w:t xml:space="preserve"> </w:t>
      </w:r>
      <w:r>
        <w:t xml:space="preserve">in the work of the project;</w:t>
      </w:r>
    </w:p>
    <w:p>
      <w:pPr>
        <w:numPr>
          <w:ilvl w:val="0"/>
          <w:numId w:val="1004"/>
        </w:numPr>
        <w:pStyle w:val="Compact"/>
      </w:pPr>
      <w:r>
        <w:t xml:space="preserve">The</w:t>
      </w:r>
      <w:r>
        <w:t xml:space="preserve"> </w:t>
      </w:r>
      <w:r>
        <w:rPr>
          <w:bCs/>
          <w:b/>
        </w:rPr>
        <w:t xml:space="preserve">Types of Outputs</w:t>
      </w:r>
      <w:r>
        <w:t xml:space="preserve"> </w:t>
      </w:r>
      <w:r>
        <w:t xml:space="preserve">such as workshops and events, news stories, policy documents, and academic articles and presentations;</w:t>
      </w:r>
    </w:p>
    <w:p>
      <w:pPr>
        <w:numPr>
          <w:ilvl w:val="0"/>
          <w:numId w:val="1004"/>
        </w:numPr>
        <w:pStyle w:val="Compact"/>
      </w:pPr>
      <w:r>
        <w:t xml:space="preserve">The</w:t>
      </w:r>
      <w:r>
        <w:t xml:space="preserve"> </w:t>
      </w:r>
      <w:r>
        <w:rPr>
          <w:bCs/>
          <w:b/>
        </w:rPr>
        <w:t xml:space="preserve">Outcomes</w:t>
      </w:r>
      <w:r>
        <w:t xml:space="preserve"> </w:t>
      </w:r>
      <w:r>
        <w:t xml:space="preserve">of the project in terms of short-term and long-term changes.</w:t>
      </w:r>
    </w:p>
    <w:p>
      <w:pPr>
        <w:pStyle w:val="FirstParagraph"/>
      </w:pPr>
      <w:r>
        <w:t xml:space="preserve">For each factor, members of the research team (or the lone scholar) rates the degree of alignment on a 0 to 1 scale, with 1 representing complete alignment and 0 representing no alignment. When multiple scholars are involved, the interpolated median is calculated for each factor. An interpolated median provides a better measure—in this case—of the central tendency of the data</w:t>
      </w:r>
      <w:r>
        <w:t xml:space="preserve"> </w:t>
      </w:r>
      <w:r>
        <w:t xml:space="preserve">(South et al. 2022)</w:t>
      </w:r>
      <w:r>
        <w:t xml:space="preserve">. The interpolated median is the</w:t>
      </w:r>
      <w:r>
        <w:t xml:space="preserve"> </w:t>
      </w:r>
      <w:r>
        <w:t xml:space="preserve">“</w:t>
      </w:r>
      <w:r>
        <w:t xml:space="preserve">true median,</w:t>
      </w:r>
      <w:r>
        <w:t xml:space="preserve">”</w:t>
      </w:r>
      <w:r>
        <w:t xml:space="preserve"> </w:t>
      </w:r>
      <w:r>
        <w:t xml:space="preserve">the precise midpoint of all scores.</w:t>
      </w:r>
    </w:p>
    <w:p>
      <w:pPr>
        <w:pStyle w:val="BodyText"/>
      </w:pPr>
      <w:r>
        <w:t xml:space="preserve">Community partners are also encouraged to complete the Alignment Score survey. Once this information is collected from community partners, the interpolated median is similarly calculated. With the interpolated median values from the two groups, geometric means are calculated yielding final Alignment Scores. The</w:t>
      </w:r>
      <w:r>
        <w:t xml:space="preserve"> </w:t>
      </w:r>
      <w:r>
        <w:rPr>
          <w:iCs/>
          <w:i/>
        </w:rPr>
        <w:t xml:space="preserve">geometric mean,</w:t>
      </w:r>
      <w:r>
        <w:t xml:space="preserve"> </w:t>
      </w:r>
      <w:r>
        <w:t xml:space="preserve">rather than the more familiar arithmetic mean, is used for the final score calculation because of the small sample size and the potential for significantly disparate values</w:t>
      </w:r>
      <w:r>
        <w:t xml:space="preserve"> </w:t>
      </w:r>
      <w:r>
        <w:t xml:space="preserve">(McChesney 2020; McNichol 2022)</w:t>
      </w:r>
      <w:r>
        <w:t xml:space="preserve">. Calculating for the alignment score (</w:t>
      </w:r>
      <m:oMath>
        <m:sSub>
          <m:e>
            <m:r>
              <m:t>s</m:t>
            </m:r>
          </m:e>
          <m:sub>
            <m:r>
              <m:t>a</m:t>
            </m:r>
          </m:sub>
        </m:sSub>
      </m:oMath>
      <w:r>
        <w:t xml:space="preserve">), the geometric mean is represented in</w:t>
      </w:r>
      <w:r>
        <w:t xml:space="preserve"> </w:t>
      </w:r>
      <w:hyperlink w:anchor="eq-alignment">
        <w:r>
          <w:rPr>
            <w:rStyle w:val="Hyperlink"/>
          </w:rPr>
          <w:t xml:space="preserve">Equation 1</w:t>
        </w:r>
      </w:hyperlink>
      <w:r>
        <w:t xml:space="preserve">.</w:t>
      </w:r>
    </w:p>
    <w:p>
      <w:pPr>
        <w:pStyle w:val="BodyText"/>
      </w:pPr>
      <w:bookmarkStart w:id="52" w:name="eq-alignment"/>
      <m:oMathPara>
        <m:oMathParaPr>
          <m:jc m:val="center"/>
        </m:oMathParaPr>
        <m:oMath>
          <m:sSub>
            <m:e>
              <m:r>
                <m:t>s</m:t>
              </m:r>
            </m:e>
            <m:sub>
              <m:r>
                <m:t>a</m:t>
              </m:r>
            </m:sub>
          </m:sSub>
          <m:r>
            <m:rPr>
              <m:sty m:val="p"/>
            </m:rPr>
            <m:t>=</m:t>
          </m:r>
          <m:sSup>
            <m:e>
              <m:d>
                <m:dPr>
                  <m:begChr m:val="("/>
                  <m:endChr m:val=")"/>
                  <m:sepChr m:val=""/>
                  <m:grow/>
                </m:dPr>
                <m:e>
                  <m:nary>
                    <m:naryPr>
                      <m:chr m:val="∏"/>
                      <m:limLoc m:val="undOvr"/>
                      <m:subHide m:val="0"/>
                      <m:supHide m:val="0"/>
                    </m:naryPr>
                    <m:sub>
                      <m:r>
                        <m:t>i</m:t>
                      </m:r>
                      <m:r>
                        <m:rPr>
                          <m:sty m:val="p"/>
                        </m:rPr>
                        <m:t>=</m:t>
                      </m:r>
                      <m:r>
                        <m:t>1</m:t>
                      </m:r>
                    </m:sub>
                    <m:sup>
                      <m:r>
                        <m:t>n</m:t>
                      </m:r>
                    </m:sup>
                    <m:e>
                      <m:sSub>
                        <m:e>
                          <m:r>
                            <m:t>M</m:t>
                          </m:r>
                        </m:e>
                        <m:sub>
                          <m:r>
                            <m:t>i</m:t>
                          </m:r>
                        </m:sub>
                      </m:sSub>
                    </m:e>
                  </m:nary>
                </m:e>
              </m:d>
            </m:e>
            <m:sup>
              <m:f>
                <m:fPr>
                  <m:type m:val="bar"/>
                </m:fPr>
                <m:num>
                  <m:r>
                    <m:t>1</m:t>
                  </m:r>
                </m:num>
                <m:den>
                  <m:r>
                    <m:t>n</m:t>
                  </m:r>
                </m:den>
              </m:f>
            </m:sup>
          </m:sSup>
          <m:r>
            <m:t>  </m:t>
          </m:r>
          <m:d>
            <m:dPr>
              <m:begChr m:val="("/>
              <m:endChr m:val=")"/>
              <m:sepChr m:val=""/>
              <m:grow/>
            </m:dPr>
            <m:e>
              <m:r>
                <m:t>1</m:t>
              </m:r>
            </m:e>
          </m:d>
        </m:oMath>
      </m:oMathPara>
      <w:bookmarkEnd w:id="52"/>
    </w:p>
    <w:p>
      <w:pPr>
        <w:pStyle w:val="FirstParagraph"/>
      </w:pPr>
      <w:r>
        <w:t xml:space="preserve">In</w:t>
      </w:r>
      <w:r>
        <w:t xml:space="preserve"> </w:t>
      </w:r>
      <w:hyperlink w:anchor="eq-alignment">
        <w:r>
          <w:rPr>
            <w:rStyle w:val="Hyperlink"/>
          </w:rPr>
          <w:t xml:space="preserve">Equation 1</w:t>
        </w:r>
      </w:hyperlink>
      <w:r>
        <w:t xml:space="preserve">,</w:t>
      </w:r>
      <w:r>
        <w:t xml:space="preserve"> </w:t>
      </w:r>
      <m:oMath>
        <m:r>
          <m:t>n</m:t>
        </m:r>
      </m:oMath>
      <w:r>
        <w:t xml:space="preserve"> </w:t>
      </w:r>
      <w:r>
        <w:t xml:space="preserve">is the total number of values, and</w:t>
      </w:r>
      <w:r>
        <w:t xml:space="preserve"> </w:t>
      </w:r>
      <m:oMath>
        <m:sSub>
          <m:e>
            <m:r>
              <m:t>M</m:t>
            </m:r>
          </m:e>
          <m:sub>
            <m:r>
              <m:t>i</m:t>
            </m:r>
          </m:sub>
        </m:sSub>
      </m:oMath>
      <w:r>
        <w:t xml:space="preserve"> </w:t>
      </w:r>
      <w:r>
        <w:t xml:space="preserve">represents the individual medians.</w:t>
      </w:r>
      <w:r>
        <w:t xml:space="preserve"> </w:t>
      </w:r>
      <m:oMath>
        <m:r>
          <m:rPr>
            <m:sty m:val="p"/>
          </m:rPr>
          <m:t>∏</m:t>
        </m:r>
      </m:oMath>
      <w:r>
        <w:t xml:space="preserve"> </w:t>
      </w:r>
      <w:r>
        <w:t xml:space="preserve">is the product notation, meaning the product (rather than the sum as with</w:t>
      </w:r>
      <w:r>
        <w:t xml:space="preserve"> </w:t>
      </w:r>
      <m:oMath>
        <m:r>
          <m:t>Σ</m:t>
        </m:r>
      </m:oMath>
      <w:r>
        <w:t xml:space="preserve">) is calculated.</w:t>
      </w:r>
    </w:p>
    <w:bookmarkStart w:id="58" w:name="example-alignment-score-visualization"/>
    <w:p>
      <w:pPr>
        <w:pStyle w:val="Heading3"/>
      </w:pPr>
      <w:r>
        <w:t xml:space="preserve">2.3.1 Example Alignment Score Visualization</w:t>
      </w:r>
    </w:p>
    <w:p>
      <w:pPr>
        <w:pStyle w:val="FirstParagraph"/>
      </w:pPr>
      <w:hyperlink w:anchor="fig-alignment">
        <w:r>
          <w:rPr>
            <w:rStyle w:val="Hyperlink"/>
          </w:rPr>
          <w:t xml:space="preserve">Figure 4</w:t>
        </w:r>
      </w:hyperlink>
      <w:r>
        <w:t xml:space="preserve"> </w:t>
      </w:r>
      <w:r>
        <w:t xml:space="preserve">offers a sample visualization of the Alignment Scores. The closer to the center (an alignment score approaching 1), the more aligned a factor is between the research team and the community partners. The larger the dot, the greater the difference between the researchers’ score and the community partners’ score.</w:t>
      </w:r>
    </w:p>
    <w:tbl>
      <w:tblPr>
        <w:tblStyle w:val="Table"/>
        <w:tblW w:type="pct" w:w="5000"/>
        <w:tblLook w:firstRow="0" w:lastRow="0" w:firstColumn="0" w:lastColumn="0" w:noHBand="0" w:noVBand="0" w:val="0000"/>
        <w:jc w:val="start"/>
      </w:tblPr>
      <w:tblGrid>
        <w:gridCol w:w="7920"/>
      </w:tblGrid>
      <w:tr>
        <w:tc>
          <w:tcPr/>
          <w:bookmarkStart w:id="56" w:name="fig-alignment"/>
          <w:p>
            <w:pPr>
              <w:jc w:val="center"/>
            </w:pPr>
            <w:r>
              <w:drawing>
                <wp:inline>
                  <wp:extent cx="2667000" cy="2688843"/>
                  <wp:effectExtent b="0" l="0" r="0" t="0"/>
                  <wp:docPr descr="" title="" id="54" name="Picture"/>
                  <a:graphic>
                    <a:graphicData uri="http://schemas.openxmlformats.org/drawingml/2006/picture">
                      <pic:pic>
                        <pic:nvPicPr>
                          <pic:cNvPr descr="assets/images/alignment_visual.png" id="55" name="Picture"/>
                          <pic:cNvPicPr>
                            <a:picLocks noChangeArrowheads="1" noChangeAspect="1"/>
                          </pic:cNvPicPr>
                        </pic:nvPicPr>
                        <pic:blipFill>
                          <a:blip r:embed="rId53"/>
                          <a:stretch>
                            <a:fillRect/>
                          </a:stretch>
                        </pic:blipFill>
                        <pic:spPr bwMode="auto">
                          <a:xfrm>
                            <a:off x="0" y="0"/>
                            <a:ext cx="2667000" cy="268884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Example Alignment Score Visualization</w:t>
            </w:r>
          </w:p>
          <w:bookmarkEnd w:id="56"/>
        </w:tc>
      </w:tr>
    </w:tbl>
    <w:p>
      <w:pPr>
        <w:pStyle w:val="BodyText"/>
      </w:pPr>
      <w:r>
        <w:t xml:space="preserve">The companion</w:t>
      </w:r>
      <w:r>
        <w:t xml:space="preserve"> </w:t>
      </w:r>
      <w:hyperlink w:anchor="tbl-alignment">
        <w:r>
          <w:rPr>
            <w:rStyle w:val="Hyperlink"/>
          </w:rPr>
          <w:t xml:space="preserve">Table 1</w:t>
        </w:r>
      </w:hyperlink>
      <w:r>
        <w:t xml:space="preserve"> </w:t>
      </w:r>
      <w:r>
        <w:t xml:space="preserve">provides the numeric values for the visualization, where</w:t>
      </w:r>
      <w:r>
        <w:t xml:space="preserve"> </w:t>
      </w:r>
      <m:oMath>
        <m:sSub>
          <m:e>
            <m:r>
              <m:t>s</m:t>
            </m:r>
          </m:e>
          <m:sub>
            <m:r>
              <m:t>a</m:t>
            </m:r>
          </m:sub>
        </m:sSub>
      </m:oMath>
      <w:r>
        <w:t xml:space="preserve"> </w:t>
      </w:r>
      <w:r>
        <w:t xml:space="preserve">are the alignment scores and</w:t>
      </w:r>
      <w:r>
        <w:t xml:space="preserve"> </w:t>
      </w:r>
      <m:oMath>
        <m:sSub>
          <m:e>
            <m:r>
              <m:t>Δ</m:t>
            </m:r>
          </m:e>
          <m:sub>
            <m:r>
              <m:t>M</m:t>
            </m:r>
          </m:sub>
        </m:sSub>
      </m:oMath>
      <w:r>
        <w:t xml:space="preserve"> </w:t>
      </w:r>
      <w:r>
        <w:t xml:space="preserve">are the differences between the medians.</w:t>
      </w:r>
    </w:p>
    <w:bookmarkStart w:id="57" w:name="tbl-alignment"/>
    <w:p>
      <w:pPr>
        <w:pStyle w:val="TableCaption"/>
      </w:pPr>
      <w:r>
        <w:t xml:space="preserve">Table 1: Example Alignment Score Results</w:t>
      </w:r>
    </w:p>
    <w:tbl>
      <w:tblPr>
        <w:tblStyle w:val="Table"/>
        <w:tblW w:type="auto" w:w="0"/>
        <w:tblLook w:firstRow="1" w:lastRow="0" w:firstColumn="0" w:lastColumn="0" w:noHBand="0" w:noVBand="0" w:val="0020"/>
        <w:jc w:val="start"/>
        <w:tblCaption w:val="Table 1: Example Alignment Score Results"/>
      </w:tblPr>
      <w:tblGrid>
        <w:gridCol w:w="2640"/>
        <w:gridCol w:w="2640"/>
        <w:gridCol w:w="2640"/>
      </w:tblGrid>
      <w:tr>
        <w:trPr>
          <w:tblHeader w:val="true"/>
        </w:trPr>
        <w:tc>
          <w:tcPr/>
          <w:p>
            <w:pPr>
              <w:pStyle w:val="Compact"/>
              <w:jc w:val="left"/>
            </w:pPr>
            <w:r>
              <w:t xml:space="preserve">Factor</w:t>
            </w:r>
          </w:p>
        </w:tc>
        <w:tc>
          <w:tcPr/>
          <w:p>
            <w:pPr>
              <w:pStyle w:val="Compact"/>
              <w:jc w:val="right"/>
            </w:pPr>
            <m:oMath>
              <m:sSub>
                <m:e>
                  <m:r>
                    <m:t>s</m:t>
                  </m:r>
                </m:e>
                <m:sub>
                  <m:r>
                    <m:t>a</m:t>
                  </m:r>
                </m:sub>
              </m:sSub>
            </m:oMath>
          </w:p>
        </w:tc>
        <w:tc>
          <w:tcPr/>
          <w:p>
            <w:pPr>
              <w:pStyle w:val="Compact"/>
              <w:jc w:val="right"/>
            </w:pPr>
            <m:oMath>
              <m:sSub>
                <m:e>
                  <m:r>
                    <m:t>Δ</m:t>
                  </m:r>
                </m:e>
                <m:sub>
                  <m:r>
                    <m:t>M</m:t>
                  </m:r>
                </m:sub>
              </m:sSub>
            </m:oMath>
          </w:p>
        </w:tc>
      </w:tr>
      <w:tr>
        <w:tc>
          <w:tcPr/>
          <w:p>
            <w:pPr>
              <w:pStyle w:val="Compact"/>
              <w:jc w:val="left"/>
            </w:pPr>
            <w:r>
              <w:t xml:space="preserve">Outputs</w:t>
            </w:r>
          </w:p>
        </w:tc>
        <w:tc>
          <w:tcPr/>
          <w:p>
            <w:pPr>
              <w:pStyle w:val="Compact"/>
              <w:jc w:val="right"/>
            </w:pPr>
            <w:r>
              <w:rPr>
                <w:rStyle w:val="VerbatimChar"/>
              </w:rPr>
              <w:t xml:space="preserve">0.891</w:t>
            </w:r>
          </w:p>
        </w:tc>
        <w:tc>
          <w:tcPr/>
          <w:p>
            <w:pPr>
              <w:pStyle w:val="Compact"/>
              <w:jc w:val="right"/>
            </w:pPr>
            <w:r>
              <w:rPr>
                <w:rStyle w:val="VerbatimChar"/>
              </w:rPr>
              <w:t xml:space="preserve">-0.050</w:t>
            </w:r>
          </w:p>
        </w:tc>
      </w:tr>
      <w:tr>
        <w:tc>
          <w:tcPr/>
          <w:p>
            <w:pPr>
              <w:pStyle w:val="Compact"/>
              <w:jc w:val="left"/>
            </w:pPr>
            <w:r>
              <w:t xml:space="preserve">Outcomes</w:t>
            </w:r>
          </w:p>
        </w:tc>
        <w:tc>
          <w:tcPr/>
          <w:p>
            <w:pPr>
              <w:pStyle w:val="Compact"/>
              <w:jc w:val="right"/>
            </w:pPr>
            <w:r>
              <w:rPr>
                <w:rStyle w:val="VerbatimChar"/>
              </w:rPr>
              <w:t xml:space="preserve">0.824</w:t>
            </w:r>
          </w:p>
        </w:tc>
        <w:tc>
          <w:tcPr/>
          <w:p>
            <w:pPr>
              <w:pStyle w:val="Compact"/>
              <w:jc w:val="right"/>
            </w:pPr>
            <w:r>
              <w:rPr>
                <w:rStyle w:val="VerbatimChar"/>
              </w:rPr>
              <w:t xml:space="preserve">0.281</w:t>
            </w:r>
          </w:p>
        </w:tc>
      </w:tr>
      <w:tr>
        <w:tc>
          <w:tcPr/>
          <w:p>
            <w:pPr>
              <w:pStyle w:val="Compact"/>
              <w:jc w:val="left"/>
            </w:pPr>
            <w:r>
              <w:t xml:space="preserve">Activities</w:t>
            </w:r>
          </w:p>
        </w:tc>
        <w:tc>
          <w:tcPr/>
          <w:p>
            <w:pPr>
              <w:pStyle w:val="Compact"/>
              <w:jc w:val="right"/>
            </w:pPr>
            <w:r>
              <w:rPr>
                <w:rStyle w:val="VerbatimChar"/>
              </w:rPr>
              <w:t xml:space="preserve">0.780</w:t>
            </w:r>
          </w:p>
        </w:tc>
        <w:tc>
          <w:tcPr/>
          <w:p>
            <w:pPr>
              <w:pStyle w:val="Compact"/>
              <w:jc w:val="right"/>
            </w:pPr>
            <w:r>
              <w:rPr>
                <w:rStyle w:val="VerbatimChar"/>
              </w:rPr>
              <w:t xml:space="preserve">0.066</w:t>
            </w:r>
          </w:p>
        </w:tc>
      </w:tr>
      <w:tr>
        <w:tc>
          <w:tcPr/>
          <w:p>
            <w:pPr>
              <w:pStyle w:val="Compact"/>
              <w:jc w:val="left"/>
            </w:pPr>
            <w:r>
              <w:t xml:space="preserve">Roles</w:t>
            </w:r>
          </w:p>
        </w:tc>
        <w:tc>
          <w:tcPr/>
          <w:p>
            <w:pPr>
              <w:pStyle w:val="Compact"/>
              <w:jc w:val="right"/>
            </w:pPr>
            <w:r>
              <w:rPr>
                <w:rStyle w:val="VerbatimChar"/>
              </w:rPr>
              <w:t xml:space="preserve">0.757</w:t>
            </w:r>
          </w:p>
        </w:tc>
        <w:tc>
          <w:tcPr/>
          <w:p>
            <w:pPr>
              <w:pStyle w:val="Compact"/>
              <w:jc w:val="right"/>
            </w:pPr>
            <w:r>
              <w:rPr>
                <w:rStyle w:val="VerbatimChar"/>
              </w:rPr>
              <w:t xml:space="preserve">-0.318</w:t>
            </w:r>
          </w:p>
        </w:tc>
      </w:tr>
      <w:tr>
        <w:tc>
          <w:tcPr/>
          <w:p>
            <w:pPr>
              <w:pStyle w:val="Compact"/>
              <w:jc w:val="left"/>
            </w:pPr>
            <w:r>
              <w:t xml:space="preserve">Goals</w:t>
            </w:r>
          </w:p>
        </w:tc>
        <w:tc>
          <w:tcPr/>
          <w:p>
            <w:pPr>
              <w:pStyle w:val="Compact"/>
              <w:jc w:val="right"/>
            </w:pPr>
            <w:r>
              <w:rPr>
                <w:rStyle w:val="VerbatimChar"/>
              </w:rPr>
              <w:t xml:space="preserve">0.751</w:t>
            </w:r>
          </w:p>
        </w:tc>
        <w:tc>
          <w:tcPr/>
          <w:p>
            <w:pPr>
              <w:pStyle w:val="Compact"/>
              <w:jc w:val="right"/>
            </w:pPr>
            <w:r>
              <w:rPr>
                <w:rStyle w:val="VerbatimChar"/>
              </w:rPr>
              <w:t xml:space="preserve">0.116</w:t>
            </w:r>
          </w:p>
        </w:tc>
      </w:tr>
      <w:tr>
        <w:tc>
          <w:tcPr/>
          <w:p>
            <w:pPr>
              <w:pStyle w:val="Compact"/>
              <w:jc w:val="left"/>
            </w:pPr>
            <w:r>
              <w:t xml:space="preserve">Values</w:t>
            </w:r>
          </w:p>
        </w:tc>
        <w:tc>
          <w:tcPr/>
          <w:p>
            <w:pPr>
              <w:pStyle w:val="Compact"/>
              <w:jc w:val="right"/>
            </w:pPr>
            <w:r>
              <w:rPr>
                <w:rStyle w:val="VerbatimChar"/>
              </w:rPr>
              <w:t xml:space="preserve">0.700</w:t>
            </w:r>
          </w:p>
        </w:tc>
        <w:tc>
          <w:tcPr/>
          <w:p>
            <w:pPr>
              <w:pStyle w:val="Compact"/>
              <w:jc w:val="right"/>
            </w:pPr>
            <w:r>
              <w:rPr>
                <w:rStyle w:val="VerbatimChar"/>
              </w:rPr>
              <w:t xml:space="preserve">0.181</w:t>
            </w:r>
          </w:p>
        </w:tc>
      </w:tr>
      <w:tr>
        <w:tc>
          <w:tcPr/>
          <w:p>
            <w:pPr>
              <w:pStyle w:val="Compact"/>
              <w:jc w:val="left"/>
            </w:pPr>
            <w:r>
              <w:t xml:space="preserve">Empowerment</w:t>
            </w:r>
          </w:p>
        </w:tc>
        <w:tc>
          <w:tcPr/>
          <w:p>
            <w:pPr>
              <w:pStyle w:val="Compact"/>
              <w:jc w:val="right"/>
            </w:pPr>
            <w:r>
              <w:rPr>
                <w:rStyle w:val="VerbatimChar"/>
              </w:rPr>
              <w:t xml:space="preserve">0.694</w:t>
            </w:r>
          </w:p>
        </w:tc>
        <w:tc>
          <w:tcPr/>
          <w:p>
            <w:pPr>
              <w:pStyle w:val="Compact"/>
              <w:jc w:val="right"/>
            </w:pPr>
            <w:r>
              <w:rPr>
                <w:rStyle w:val="VerbatimChar"/>
              </w:rPr>
              <w:t xml:space="preserve">0.438</w:t>
            </w:r>
          </w:p>
        </w:tc>
      </w:tr>
      <w:tr>
        <w:tc>
          <w:tcPr/>
          <w:p>
            <w:pPr>
              <w:pStyle w:val="Compact"/>
              <w:jc w:val="left"/>
            </w:pPr>
            <w:r>
              <w:t xml:space="preserve">Resources</w:t>
            </w:r>
          </w:p>
        </w:tc>
        <w:tc>
          <w:tcPr/>
          <w:p>
            <w:pPr>
              <w:pStyle w:val="Compact"/>
              <w:jc w:val="right"/>
            </w:pPr>
            <w:r>
              <w:rPr>
                <w:rStyle w:val="VerbatimChar"/>
              </w:rPr>
              <w:t xml:space="preserve">0.603</w:t>
            </w:r>
          </w:p>
        </w:tc>
        <w:tc>
          <w:tcPr/>
          <w:p>
            <w:pPr>
              <w:pStyle w:val="Compact"/>
              <w:jc w:val="right"/>
            </w:pPr>
            <w:r>
              <w:rPr>
                <w:rStyle w:val="VerbatimChar"/>
              </w:rPr>
              <w:t xml:space="preserve">0.151</w:t>
            </w:r>
          </w:p>
        </w:tc>
      </w:tr>
    </w:tbl>
    <w:bookmarkEnd w:id="57"/>
    <w:p>
      <w:pPr>
        <w:pStyle w:val="BodyText"/>
      </w:pPr>
      <w:r>
        <w:t xml:space="preserve">The</w:t>
      </w:r>
      <w:r>
        <w:t xml:space="preserve"> </w:t>
      </w:r>
      <w:r>
        <w:rPr>
          <w:iCs/>
          <w:i/>
        </w:rPr>
        <w:t xml:space="preserve">Outputs</w:t>
      </w:r>
      <w:r>
        <w:t xml:space="preserve"> </w:t>
      </w:r>
      <m:oMath>
        <m:sSub>
          <m:e>
            <m:r>
              <m:t>s</m:t>
            </m:r>
          </m:e>
          <m:sub>
            <m:r>
              <m:t>a</m:t>
            </m:r>
          </m:sub>
        </m:sSub>
      </m:oMath>
      <w:r>
        <w:t xml:space="preserve">, for example, is relatively high at</w:t>
      </w:r>
      <w:r>
        <w:t xml:space="preserve"> </w:t>
      </w:r>
      <w:r>
        <w:rPr>
          <w:rStyle w:val="VerbatimChar"/>
        </w:rPr>
        <w:t xml:space="preserve">0.891</w:t>
      </w:r>
      <w:r>
        <w:t xml:space="preserve">. In addition, there is a relatively low difference in medians between the researchers and the community partners (</w:t>
      </w:r>
      <w:r>
        <w:rPr>
          <w:rStyle w:val="VerbatimChar"/>
        </w:rPr>
        <w:t xml:space="preserve">-0.050</w:t>
      </w:r>
      <w:r>
        <w:t xml:space="preserve">). Because the</w:t>
      </w:r>
      <w:r>
        <w:t xml:space="preserve"> </w:t>
      </w:r>
      <m:oMath>
        <m:sSub>
          <m:e>
            <m:r>
              <m:t>Δ</m:t>
            </m:r>
          </m:e>
          <m:sub>
            <m:r>
              <m:t>M</m:t>
            </m:r>
          </m:sub>
        </m:sSub>
      </m:oMath>
      <w:r>
        <w:t xml:space="preserve"> </w:t>
      </w:r>
      <w:r>
        <w:t xml:space="preserve">is negative, the median of the community partners was slightly higher than the median of the researchers, meaning the community partners believed the alignment was greater than the researchers did. The</w:t>
      </w:r>
      <w:r>
        <w:t xml:space="preserve"> </w:t>
      </w:r>
      <w:r>
        <w:rPr>
          <w:iCs/>
          <w:i/>
        </w:rPr>
        <w:t xml:space="preserve">Empowerment</w:t>
      </w:r>
      <w:r>
        <w:t xml:space="preserve"> </w:t>
      </w:r>
      <m:oMath>
        <m:sSub>
          <m:e>
            <m:r>
              <m:t>s</m:t>
            </m:r>
          </m:e>
          <m:sub>
            <m:r>
              <m:t>a</m:t>
            </m:r>
          </m:sub>
        </m:sSub>
      </m:oMath>
      <w:r>
        <w:t xml:space="preserve">, however, is lower (</w:t>
      </w:r>
      <w:r>
        <w:rPr>
          <w:rStyle w:val="VerbatimChar"/>
        </w:rPr>
        <w:t xml:space="preserve">0.694</w:t>
      </w:r>
      <w:r>
        <w:t xml:space="preserve">) and the</w:t>
      </w:r>
      <w:r>
        <w:t xml:space="preserve"> </w:t>
      </w:r>
      <m:oMath>
        <m:sSub>
          <m:e>
            <m:r>
              <m:t>Δ</m:t>
            </m:r>
          </m:e>
          <m:sub>
            <m:r>
              <m:t>M</m:t>
            </m:r>
          </m:sub>
        </m:sSub>
      </m:oMath>
      <w:r>
        <w:t xml:space="preserve"> </w:t>
      </w:r>
      <w:r>
        <w:t xml:space="preserve">is much greater (</w:t>
      </w:r>
      <w:r>
        <w:rPr>
          <w:rStyle w:val="VerbatimChar"/>
        </w:rPr>
        <w:t xml:space="preserve">0.438</w:t>
      </w:r>
      <w:r>
        <w:t xml:space="preserve">). This indicates that the researchers and the community partners were much less aligned and the researchers thought there was much greater alignment than the community partners did. This is a fundamental mismatch in understanding what empowerment through community engaged research should look like.</w:t>
      </w:r>
    </w:p>
    <w:bookmarkEnd w:id="58"/>
    <w:bookmarkEnd w:id="59"/>
    <w:bookmarkStart w:id="78" w:name="project-dynamics-score-development"/>
    <w:p>
      <w:pPr>
        <w:pStyle w:val="Heading2"/>
      </w:pPr>
      <w:r>
        <w:t xml:space="preserve">2.4 Project Dynamics Score Development</w:t>
      </w:r>
    </w:p>
    <w:p>
      <w:pPr>
        <w:pStyle w:val="FirstParagraph"/>
      </w:pPr>
      <w:r>
        <w:t xml:space="preserve">The Project Dynamics Score provides insight into</w:t>
      </w:r>
      <w:r>
        <w:t xml:space="preserve"> </w:t>
      </w:r>
      <w:r>
        <w:rPr>
          <w:iCs/>
          <w:i/>
        </w:rPr>
        <w:t xml:space="preserve">where the project started,</w:t>
      </w:r>
      <w:r>
        <w:t xml:space="preserve"> </w:t>
      </w:r>
      <w:r>
        <w:rPr>
          <w:iCs/>
          <w:i/>
        </w:rPr>
        <w:t xml:space="preserve">how the project was carried out,</w:t>
      </w:r>
      <w:r>
        <w:t xml:space="preserve"> </w:t>
      </w:r>
      <w:r>
        <w:t xml:space="preserve">and</w:t>
      </w:r>
      <w:r>
        <w:t xml:space="preserve"> </w:t>
      </w:r>
      <w:r>
        <w:rPr>
          <w:iCs/>
          <w:i/>
        </w:rPr>
        <w:t xml:space="preserve">where the project ended up.</w:t>
      </w:r>
      <w:r>
        <w:t xml:space="preserve"> </w:t>
      </w:r>
      <w:r>
        <w:t xml:space="preserve">The structure of the Project Dynamics Score is adapted from the Community Based Participatory Research (CBPR) framework</w:t>
      </w:r>
      <w:r>
        <w:rPr>
          <w:rStyle w:val="FootnoteReference"/>
        </w:rPr>
        <w:footnoteReference w:id="60"/>
      </w:r>
      <w:r>
        <w:t xml:space="preserve">, illustrated in</w:t>
      </w:r>
      <w:r>
        <w:t xml:space="preserve"> </w:t>
      </w:r>
      <w:hyperlink w:anchor="fig-framework">
        <w:r>
          <w:rPr>
            <w:rStyle w:val="Hyperlink"/>
          </w:rPr>
          <w:t xml:space="preserve">Figure 5</w:t>
        </w:r>
      </w:hyperlink>
      <w:r>
        <w:t xml:space="preserve">. As noted above, the CBPR framework</w:t>
      </w:r>
      <w:r>
        <w:t xml:space="preserve"> </w:t>
      </w:r>
      <w:r>
        <w:t xml:space="preserve">(Wallerstein et al. 2008; Wallerstein and Duran 2010; Wallerstein et al. 2020)</w:t>
      </w:r>
      <w:r>
        <w:t xml:space="preserve"> </w:t>
      </w:r>
      <w:r>
        <w:t xml:space="preserve">fulfills the requirements and preferences uncovered through the Priority Mapping process.</w:t>
      </w:r>
    </w:p>
    <w:tbl>
      <w:tblPr>
        <w:tblStyle w:val="Table"/>
        <w:tblW w:type="pct" w:w="5000"/>
        <w:tblLook w:firstRow="0" w:lastRow="0" w:firstColumn="0" w:lastColumn="0" w:noHBand="0" w:noVBand="0" w:val="0000"/>
        <w:jc w:val="start"/>
      </w:tblPr>
      <w:tblGrid>
        <w:gridCol w:w="7920"/>
      </w:tblGrid>
      <w:tr>
        <w:tc>
          <w:tcPr/>
          <w:bookmarkStart w:id="64" w:name="fig-framework"/>
          <w:p>
            <w:pPr>
              <w:jc w:val="center"/>
            </w:pPr>
            <w:r>
              <w:drawing>
                <wp:inline>
                  <wp:extent cx="4000500" cy="3173236"/>
                  <wp:effectExtent b="0" l="0" r="0" t="0"/>
                  <wp:docPr descr="" title="" id="62" name="Picture"/>
                  <a:graphic>
                    <a:graphicData uri="http://schemas.openxmlformats.org/drawingml/2006/picture">
                      <pic:pic>
                        <pic:nvPicPr>
                          <pic:cNvPr descr="assets/images/eval_framework.png" id="63" name="Picture"/>
                          <pic:cNvPicPr>
                            <a:picLocks noChangeArrowheads="1" noChangeAspect="1"/>
                          </pic:cNvPicPr>
                        </pic:nvPicPr>
                        <pic:blipFill>
                          <a:blip r:embed="rId61"/>
                          <a:stretch>
                            <a:fillRect/>
                          </a:stretch>
                        </pic:blipFill>
                        <pic:spPr bwMode="auto">
                          <a:xfrm>
                            <a:off x="0" y="0"/>
                            <a:ext cx="4000500" cy="31732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Project Dynamics Score Framework</w:t>
            </w:r>
          </w:p>
          <w:bookmarkEnd w:id="64"/>
        </w:tc>
      </w:tr>
    </w:tbl>
    <w:p>
      <w:pPr>
        <w:pStyle w:val="BodyText"/>
      </w:pPr>
      <w:r>
        <w:t xml:space="preserve">Following the CBPR framework, the Project Dynamics scores are organized into five</w:t>
      </w:r>
      <w:r>
        <w:t xml:space="preserve"> </w:t>
      </w:r>
      <w:r>
        <w:rPr>
          <w:iCs/>
          <w:i/>
        </w:rPr>
        <w:t xml:space="preserve">domains:</w:t>
      </w:r>
      <w:r>
        <w:t xml:space="preserve"> </w:t>
      </w:r>
      <w:r>
        <w:t xml:space="preserve">Contexts, Processes, Interventions and Research, Engaged Learning, and Outcomes. The Engaged Learning domain was specifically added to accommodate community-engaged scholars who integrate their students from one or more courses into their research. Each domain is further divided into</w:t>
      </w:r>
      <w:r>
        <w:t xml:space="preserve"> </w:t>
      </w:r>
      <w:r>
        <w:rPr>
          <w:iCs/>
          <w:i/>
        </w:rPr>
        <w:t xml:space="preserve">dimensions,</w:t>
      </w:r>
      <w:r>
        <w:t xml:space="preserve"> </w:t>
      </w:r>
      <w:r>
        <w:t xml:space="preserve">which are the topical categories that make up the domains. Lastly,</w:t>
      </w:r>
      <w:r>
        <w:t xml:space="preserve"> </w:t>
      </w:r>
      <w:r>
        <w:rPr>
          <w:iCs/>
          <w:i/>
        </w:rPr>
        <w:t xml:space="preserve">attributes</w:t>
      </w:r>
      <w:r>
        <w:t xml:space="preserve"> </w:t>
      </w:r>
      <w:r>
        <w:t xml:space="preserve">contribute to each dimension, offering specific possibilities for how each dimension can be described or enacted.</w:t>
      </w:r>
    </w:p>
    <w:p>
      <w:pPr>
        <w:pStyle w:val="BodyText"/>
      </w:pPr>
      <w:r>
        <w:t xml:space="preserve">As an example, the Contexts</w:t>
      </w:r>
      <w:r>
        <w:t xml:space="preserve"> </w:t>
      </w:r>
      <w:r>
        <w:rPr>
          <w:iCs/>
          <w:i/>
        </w:rPr>
        <w:t xml:space="preserve">domain</w:t>
      </w:r>
      <w:r>
        <w:t xml:space="preserve"> </w:t>
      </w:r>
      <w:r>
        <w:t xml:space="preserve">is constituted of the following</w:t>
      </w:r>
      <w:r>
        <w:t xml:space="preserve"> </w:t>
      </w:r>
      <w:r>
        <w:rPr>
          <w:iCs/>
          <w:i/>
        </w:rPr>
        <w:t xml:space="preserve">dimensions:</w:t>
      </w:r>
      <w:r>
        <w:t xml:space="preserve"> </w:t>
      </w:r>
      <w:r>
        <w:t xml:space="preserve">Challenge Origin, Diversity, Resources, and Trust. The Challenge Origin dimension is described by</w:t>
      </w:r>
      <w:r>
        <w:t xml:space="preserve"> </w:t>
      </w:r>
      <w:r>
        <w:rPr>
          <w:iCs/>
          <w:i/>
        </w:rPr>
        <w:t xml:space="preserve">attributes</w:t>
      </w:r>
      <w:r>
        <w:t xml:space="preserve"> </w:t>
      </w:r>
      <w:r>
        <w:t xml:space="preserve">such as</w:t>
      </w:r>
      <w:r>
        <w:t xml:space="preserve"> </w:t>
      </w:r>
      <w:r>
        <w:t xml:space="preserve">“</w:t>
      </w:r>
      <w:r>
        <w:t xml:space="preserve">The Research Team identified the challenge or issue,</w:t>
      </w:r>
      <w:r>
        <w:t xml:space="preserve">”</w:t>
      </w:r>
      <w:r>
        <w:t xml:space="preserve"> </w:t>
      </w:r>
      <w:r>
        <w:t xml:space="preserve">“</w:t>
      </w:r>
      <w:r>
        <w:t xml:space="preserve">The Community identified the challenge or issue,</w:t>
      </w:r>
      <w:r>
        <w:t xml:space="preserve">”</w:t>
      </w:r>
      <w:r>
        <w:t xml:space="preserve"> </w:t>
      </w:r>
      <w:r>
        <w:t xml:space="preserve">and</w:t>
      </w:r>
      <w:r>
        <w:t xml:space="preserve"> </w:t>
      </w:r>
      <w:r>
        <w:t xml:space="preserve">“</w:t>
      </w:r>
      <w:r>
        <w:t xml:space="preserve">There were ongoing negotiations between the Research Team and the Community.</w:t>
      </w:r>
      <w:r>
        <w:t xml:space="preserve">”</w:t>
      </w:r>
    </w:p>
    <w:bookmarkStart w:id="70" w:name="score-calculations"/>
    <w:p>
      <w:pPr>
        <w:pStyle w:val="Heading3"/>
      </w:pPr>
      <w:r>
        <w:t xml:space="preserve">2.4.1 Score Calculations</w:t>
      </w:r>
    </w:p>
    <w:p>
      <w:pPr>
        <w:pStyle w:val="FirstParagraph"/>
      </w:pPr>
      <w:r>
        <w:t xml:space="preserve">A score is calculated for each dimension and domain, and then an overall Project Dynamics Score is calculated. All scores fall within the 0 to 1 range. Only the domain and overall scores are represented in the visualization.</w:t>
      </w:r>
    </w:p>
    <w:p>
      <w:pPr>
        <w:pStyle w:val="BodyText"/>
      </w:pPr>
      <w:r>
        <w:t xml:space="preserve">The dimension scores are calculated by selecting and rank ordering the available attributes. If an attribute applies to the project at hand, then it is included and ranked. If an attribute is not applicable, then it is neither ranked nor scored. The full list of attributes and their assigned weights (</w:t>
      </w:r>
      <m:oMath>
        <m:sSub>
          <m:e>
            <m:r>
              <m:t>w</m:t>
            </m:r>
          </m:e>
          <m:sub>
            <m:r>
              <m:t>a</m:t>
            </m:r>
          </m:sub>
        </m:sSub>
      </m:oMath>
      <w:r>
        <w:t xml:space="preserve">) can be found in</w:t>
      </w:r>
      <w:r>
        <w:t xml:space="preserve"> </w:t>
      </w:r>
      <w:hyperlink w:anchor="tbl-weightings">
        <w:r>
          <w:rPr>
            <w:rStyle w:val="Hyperlink"/>
          </w:rPr>
          <w:t xml:space="preserve">Table 3</w:t>
        </w:r>
      </w:hyperlink>
      <w:r>
        <w:t xml:space="preserve">.</w:t>
      </w:r>
    </w:p>
    <w:p>
      <w:pPr>
        <w:pStyle w:val="BodyText"/>
      </w:pPr>
      <w:r>
        <w:t xml:space="preserve">The dimension score itself is calculated through a two dimensional weighting process. Each attribute is assigned a weight based on the importance assigned to it by the expert panel (see</w:t>
      </w:r>
      <w:r>
        <w:t xml:space="preserve"> </w:t>
      </w:r>
      <w:hyperlink w:anchor="sec-weightings">
        <w:r>
          <w:rPr>
            <w:rStyle w:val="Hyperlink"/>
          </w:rPr>
          <w:t xml:space="preserve">Section 2.4.2</w:t>
        </w:r>
      </w:hyperlink>
      <w:r>
        <w:t xml:space="preserve">) and each rank is also assigned a weight. The possible weight values are derived from the equation</w:t>
      </w:r>
      <w:r>
        <w:t xml:space="preserve"> </w:t>
      </w:r>
      <m:oMath>
        <m:r>
          <m:t>y</m:t>
        </m:r>
        <m:r>
          <m:rPr>
            <m:sty m:val="p"/>
          </m:rPr>
          <m:t>=</m:t>
        </m:r>
        <m:sSub>
          <m:e>
            <m:r>
              <m:rPr>
                <m:sty m:val="p"/>
              </m:rPr>
              <m:t>log</m:t>
            </m:r>
          </m:e>
          <m:sub>
            <m:r>
              <m:t>10</m:t>
            </m:r>
          </m:sub>
        </m:sSub>
        <m:d>
          <m:dPr>
            <m:begChr m:val="("/>
            <m:endChr m:val=")"/>
            <m:sepChr m:val=""/>
            <m:grow/>
          </m:dPr>
          <m:e>
            <m:r>
              <m:t>x</m:t>
            </m:r>
          </m:e>
        </m:d>
      </m:oMath>
      <w:r>
        <w:t xml:space="preserve">. A logarithmic scale was chosen because it emphasizes relative changes at higher values. The following values</w:t>
      </w:r>
      <w:r>
        <w:t xml:space="preserve"> </w:t>
      </w:r>
      <m:oMath>
        <m:r>
          <m:t>x</m:t>
        </m:r>
      </m:oMath>
      <w:r>
        <w:t xml:space="preserve"> </w:t>
      </w:r>
      <w:r>
        <w:t xml:space="preserve">values were selected so the cooresponding</w:t>
      </w:r>
      <w:r>
        <w:t xml:space="preserve"> </w:t>
      </w:r>
      <m:oMath>
        <m:r>
          <m:t>y</m:t>
        </m:r>
      </m:oMath>
      <w:r>
        <w:t xml:space="preserve"> </w:t>
      </w:r>
      <w:r>
        <w:t xml:space="preserve">values represent the weightings: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right"/>
            </w:pPr>
            <m:oMath>
              <m:r>
                <m:t>x</m:t>
              </m:r>
            </m:oMath>
          </w:p>
        </w:tc>
        <w:tc>
          <w:tcPr/>
          <w:p>
            <w:pPr>
              <w:pStyle w:val="Compact"/>
              <w:jc w:val="right"/>
            </w:pPr>
            <m:oMath>
              <m:r>
                <m:t>y</m:t>
              </m:r>
            </m:oMath>
            <w:r>
              <w:t xml:space="preserve"> </w:t>
            </w:r>
            <w:r>
              <w:t xml:space="preserve">(weight)</w:t>
            </w:r>
          </w:p>
        </w:tc>
      </w:tr>
      <w:tr>
        <w:tc>
          <w:tcPr/>
          <w:p>
            <w:pPr>
              <w:pStyle w:val="Compact"/>
              <w:jc w:val="right"/>
            </w:pPr>
            <w:r>
              <w:t xml:space="preserve">10</w:t>
            </w:r>
          </w:p>
        </w:tc>
        <w:tc>
          <w:tcPr/>
          <w:p>
            <w:pPr>
              <w:pStyle w:val="Compact"/>
              <w:jc w:val="right"/>
            </w:pPr>
            <w:r>
              <w:t xml:space="preserve">1.00</w:t>
            </w:r>
          </w:p>
        </w:tc>
      </w:tr>
      <w:tr>
        <w:tc>
          <w:tcPr/>
          <w:p>
            <w:pPr>
              <w:pStyle w:val="Compact"/>
              <w:jc w:val="right"/>
            </w:pPr>
            <w:r>
              <w:t xml:space="preserve">9</w:t>
            </w:r>
          </w:p>
        </w:tc>
        <w:tc>
          <w:tcPr/>
          <w:p>
            <w:pPr>
              <w:pStyle w:val="Compact"/>
              <w:jc w:val="right"/>
            </w:pPr>
            <w:r>
              <w:t xml:space="preserve">0.95</w:t>
            </w:r>
          </w:p>
        </w:tc>
      </w:tr>
      <w:tr>
        <w:tc>
          <w:tcPr/>
          <w:p>
            <w:pPr>
              <w:pStyle w:val="Compact"/>
              <w:jc w:val="right"/>
            </w:pPr>
            <w:r>
              <w:t xml:space="preserve">8</w:t>
            </w:r>
          </w:p>
        </w:tc>
        <w:tc>
          <w:tcPr/>
          <w:p>
            <w:pPr>
              <w:pStyle w:val="Compact"/>
              <w:jc w:val="right"/>
            </w:pPr>
            <w:r>
              <w:t xml:space="preserve">0.90</w:t>
            </w:r>
          </w:p>
        </w:tc>
      </w:tr>
      <w:tr>
        <w:tc>
          <w:tcPr/>
          <w:p>
            <w:pPr>
              <w:pStyle w:val="Compact"/>
              <w:jc w:val="right"/>
            </w:pPr>
            <w:r>
              <w:t xml:space="preserve">7</w:t>
            </w:r>
          </w:p>
        </w:tc>
        <w:tc>
          <w:tcPr/>
          <w:p>
            <w:pPr>
              <w:pStyle w:val="Compact"/>
              <w:jc w:val="right"/>
            </w:pPr>
            <w:r>
              <w:t xml:space="preserve">0.84</w:t>
            </w:r>
          </w:p>
        </w:tc>
      </w:tr>
      <w:tr>
        <w:tc>
          <w:tcPr/>
          <w:p>
            <w:pPr>
              <w:pStyle w:val="Compact"/>
              <w:jc w:val="right"/>
            </w:pPr>
            <w:r>
              <w:t xml:space="preserve">6</w:t>
            </w:r>
          </w:p>
        </w:tc>
        <w:tc>
          <w:tcPr/>
          <w:p>
            <w:pPr>
              <w:pStyle w:val="Compact"/>
              <w:jc w:val="right"/>
            </w:pPr>
            <w:r>
              <w:t xml:space="preserve">0.78</w:t>
            </w:r>
          </w:p>
        </w:tc>
      </w:tr>
    </w:tbl>
    <w:p>
      <w:pPr>
        <w:pStyle w:val="BodyText"/>
      </w:pPr>
      <w:r>
        <w:t xml:space="preserve">The two weights—the attribute weight and the ranking weight—are multipled together which results in an attribute value (</w:t>
      </w:r>
      <w:hyperlink w:anchor="eq-attribute-score">
        <w:r>
          <w:rPr>
            <w:rStyle w:val="Hyperlink"/>
          </w:rPr>
          <w:t xml:space="preserve">Equation 2</w:t>
        </w:r>
      </w:hyperlink>
      <w:r>
        <w:t xml:space="preserve">).</w:t>
      </w:r>
    </w:p>
    <w:p>
      <w:pPr>
        <w:pStyle w:val="BodyText"/>
      </w:pPr>
      <w:bookmarkStart w:id="65" w:name="eq-attribute-score"/>
      <m:oMathPara>
        <m:oMathParaPr>
          <m:jc m:val="center"/>
        </m:oMathParaPr>
        <m:oMath>
          <m:sSub>
            <m:e>
              <m:r>
                <m:t>v</m:t>
              </m:r>
            </m:e>
            <m:sub>
              <m:r>
                <m:t>a</m:t>
              </m:r>
            </m:sub>
          </m:sSub>
          <m:r>
            <m:rPr>
              <m:sty m:val="p"/>
            </m:rPr>
            <m:t>=</m:t>
          </m:r>
          <m:sSub>
            <m:e>
              <m:r>
                <m:t>w</m:t>
              </m:r>
            </m:e>
            <m:sub>
              <m:r>
                <m:t>a</m:t>
              </m:r>
            </m:sub>
          </m:sSub>
          <m:r>
            <m:rPr>
              <m:sty m:val="p"/>
            </m:rPr>
            <m:t>×</m:t>
          </m:r>
          <m:sSub>
            <m:e>
              <m:r>
                <m:t>w</m:t>
              </m:r>
            </m:e>
            <m:sub>
              <m:r>
                <m:t>r</m:t>
              </m:r>
            </m:sub>
          </m:sSub>
          <m:r>
            <m:t>  </m:t>
          </m:r>
          <m:d>
            <m:dPr>
              <m:begChr m:val="("/>
              <m:endChr m:val=")"/>
              <m:sepChr m:val=""/>
              <m:grow/>
            </m:dPr>
            <m:e>
              <m:r>
                <m:t>2</m:t>
              </m:r>
            </m:e>
          </m:d>
        </m:oMath>
      </m:oMathPara>
      <w:bookmarkEnd w:id="65"/>
    </w:p>
    <w:p>
      <w:pPr>
        <w:pStyle w:val="FirstParagraph"/>
      </w:pPr>
      <w:r>
        <w:t xml:space="preserve">In</w:t>
      </w:r>
      <w:r>
        <w:t xml:space="preserve"> </w:t>
      </w:r>
      <w:hyperlink w:anchor="eq-attribute-score">
        <w:r>
          <w:rPr>
            <w:rStyle w:val="Hyperlink"/>
          </w:rPr>
          <w:t xml:space="preserve">Equation 2</w:t>
        </w:r>
      </w:hyperlink>
      <w:r>
        <w:t xml:space="preserve">,</w:t>
      </w:r>
      <w:r>
        <w:t xml:space="preserve"> </w:t>
      </w:r>
      <m:oMath>
        <m:sSub>
          <m:e>
            <m:r>
              <m:t>v</m:t>
            </m:r>
          </m:e>
          <m:sub>
            <m:r>
              <m:t>a</m:t>
            </m:r>
          </m:sub>
        </m:sSub>
      </m:oMath>
      <w:r>
        <w:t xml:space="preserve"> </w:t>
      </w:r>
      <w:r>
        <w:t xml:space="preserve">is the attribute value,</w:t>
      </w:r>
      <w:r>
        <w:t xml:space="preserve"> </w:t>
      </w:r>
      <m:oMath>
        <m:sSub>
          <m:e>
            <m:r>
              <m:t>w</m:t>
            </m:r>
          </m:e>
          <m:sub>
            <m:r>
              <m:t>a</m:t>
            </m:r>
          </m:sub>
        </m:sSub>
      </m:oMath>
      <w:r>
        <w:t xml:space="preserve"> </w:t>
      </w:r>
      <w:r>
        <w:t xml:space="preserve">is the</w:t>
      </w:r>
      <w:r>
        <w:t xml:space="preserve"> </w:t>
      </w:r>
      <w:r>
        <w:rPr>
          <w:iCs/>
          <w:i/>
        </w:rPr>
        <w:t xml:space="preserve">assigned</w:t>
      </w:r>
      <w:r>
        <w:t xml:space="preserve"> </w:t>
      </w:r>
      <w:r>
        <w:t xml:space="preserve">attribute weight, and</w:t>
      </w:r>
      <w:r>
        <w:t xml:space="preserve"> </w:t>
      </w:r>
      <m:oMath>
        <m:sSub>
          <m:e>
            <m:r>
              <m:t>w</m:t>
            </m:r>
          </m:e>
          <m:sub>
            <m:r>
              <m:t>r</m:t>
            </m:r>
          </m:sub>
        </m:sSub>
      </m:oMath>
      <w:r>
        <w:t xml:space="preserve"> </w:t>
      </w:r>
      <w:r>
        <w:t xml:space="preserve">is the ranking weight. For instance, if the attribute</w:t>
      </w:r>
      <w:r>
        <w:t xml:space="preserve"> </w:t>
      </w:r>
      <w:r>
        <w:t xml:space="preserve">“</w:t>
      </w:r>
      <w:r>
        <w:t xml:space="preserve">The Research Team refined the challenge or issue</w:t>
      </w:r>
      <w:r>
        <w:t xml:space="preserve">”</w:t>
      </w:r>
      <w:r>
        <w:t xml:space="preserve"> </w:t>
      </w:r>
      <w:r>
        <w:t xml:space="preserve">was ranked second in the Challenge Origin dimension, the calculation would be</w:t>
      </w:r>
      <w:r>
        <w:t xml:space="preserve"> </w:t>
      </w:r>
      <m:oMath>
        <m:r>
          <m:t>0.84</m:t>
        </m:r>
        <m:r>
          <m:rPr>
            <m:sty m:val="p"/>
          </m:rPr>
          <m:t>×</m:t>
        </m:r>
        <m:r>
          <m:t>0.95</m:t>
        </m:r>
      </m:oMath>
      <w:r>
        <w:t xml:space="preserve">, resulting in an attribute value of</w:t>
      </w:r>
      <w:r>
        <w:t xml:space="preserve"> </w:t>
      </w:r>
      <m:oMath>
        <m:r>
          <m:t>0.80</m:t>
        </m:r>
      </m:oMath>
      <w:r>
        <w:t xml:space="preserve"> </w:t>
      </w:r>
      <w:r>
        <w:t xml:space="preserve">when rounded to two decimal places.</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6" name="Picture"/>
                  <a:graphic>
                    <a:graphicData uri="http://schemas.openxmlformats.org/drawingml/2006/picture">
                      <pic:pic>
                        <pic:nvPicPr>
                          <pic:cNvPr descr="/Applications/quarto/share/formats/docx/note.png" id="6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The Intentionality of a Logarithmic Scale</w:t>
            </w:r>
          </w:p>
          <w:p>
            <w:pPr>
              <w:pStyle w:val="BodyText"/>
            </w:pPr>
            <w:pPr>
              <w:spacing w:before="16" w:after="16"/>
            </w:pPr>
            <w:r>
              <w:t xml:space="preserve">The decision to use a logarithmic scale was made to emphasize that CEnTR*IMPACT is intended as an evaluation and reporting tool, rather than a metric that could lead to severe consequences—such as a career-ending outcome—particularly if a review committee does not fully understand how CEnTR*IMPACT metrics are constructed.</w:t>
            </w:r>
          </w:p>
        </w:tc>
      </w:tr>
    </w:tbl>
    <w:p>
      <w:pPr>
        <w:pStyle w:val="BodyText"/>
      </w:pPr>
      <w:r>
        <w:t xml:space="preserve">In order to provide normalized dimension values to minimize the penalty for choosing only a subset of the attributes, an algorithmic weighted mean is calculated. An algorithmic mean is warranted here because the attribute values are additive and generally along the same</w:t>
      </w:r>
      <w:r>
        <w:t xml:space="preserve"> </w:t>
      </w:r>
      <w:r>
        <w:t xml:space="preserve">“</w:t>
      </w:r>
      <w:r>
        <w:t xml:space="preserve">scale</w:t>
      </w:r>
      <w:r>
        <w:t xml:space="preserve">”</w:t>
      </w:r>
      <w:r>
        <w:t xml:space="preserve"> </w:t>
      </w:r>
      <w:r>
        <w:t xml:space="preserve">(they all contribute to the dimension). The weights are calculated in</w:t>
      </w:r>
      <w:r>
        <w:t xml:space="preserve"> </w:t>
      </w:r>
      <w:hyperlink w:anchor="eq-attribute-weights">
        <w:r>
          <w:rPr>
            <w:rStyle w:val="Hyperlink"/>
          </w:rPr>
          <w:t xml:space="preserve">Equation 3</w:t>
        </w:r>
      </w:hyperlink>
      <w:r>
        <w:t xml:space="preserve">.</w:t>
      </w:r>
    </w:p>
    <w:p>
      <w:pPr>
        <w:pStyle w:val="BodyText"/>
      </w:pPr>
      <w:bookmarkStart w:id="68" w:name="eq-attribute-weights"/>
      <m:oMathPara>
        <m:oMathParaPr>
          <m:jc m:val="center"/>
        </m:oMathParaPr>
        <m:oMath>
          <m:sSub>
            <m:e>
              <m:r>
                <m:t>w</m:t>
              </m:r>
            </m:e>
            <m:sub>
              <m:r>
                <m:t>c</m:t>
              </m:r>
            </m:sub>
          </m:sSub>
          <m:r>
            <m:rPr>
              <m:sty m:val="p"/>
            </m:rPr>
            <m:t>=</m:t>
          </m:r>
          <m:f>
            <m:fPr>
              <m:type m:val="bar"/>
            </m:fPr>
            <m:num>
              <m:sSub>
                <m:e>
                  <m:r>
                    <m:t>v</m:t>
                  </m:r>
                </m:e>
                <m:sub>
                  <m:r>
                    <m:t>a</m:t>
                  </m:r>
                </m:sub>
              </m:sSub>
            </m:num>
            <m:den>
              <m:nary>
                <m:naryPr>
                  <m:chr m:val="∑"/>
                  <m:limLoc m:val="undOvr"/>
                  <m:subHide m:val="0"/>
                  <m:supHide m:val="0"/>
                </m:naryPr>
                <m:sub>
                  <m:r>
                    <m:t>j</m:t>
                  </m:r>
                  <m:r>
                    <m:rPr>
                      <m:sty m:val="p"/>
                    </m:rPr>
                    <m:t>=</m:t>
                  </m:r>
                  <m:r>
                    <m:t>1</m:t>
                  </m:r>
                </m:sub>
                <m:sup>
                  <m:r>
                    <m:t>n</m:t>
                  </m:r>
                </m:sup>
                <m:e>
                  <m:sSub>
                    <m:e>
                      <m:r>
                        <m:t>v</m:t>
                      </m:r>
                    </m:e>
                    <m:sub>
                      <m:r>
                        <m:t>j</m:t>
                      </m:r>
                    </m:sub>
                  </m:sSub>
                </m:e>
              </m:nary>
            </m:den>
          </m:f>
          <m:r>
            <m:t>  </m:t>
          </m:r>
          <m:d>
            <m:dPr>
              <m:begChr m:val="("/>
              <m:endChr m:val=")"/>
              <m:sepChr m:val=""/>
              <m:grow/>
            </m:dPr>
            <m:e>
              <m:r>
                <m:t>3</m:t>
              </m:r>
            </m:e>
          </m:d>
        </m:oMath>
      </m:oMathPara>
      <w:bookmarkEnd w:id="68"/>
    </w:p>
    <w:p>
      <w:pPr>
        <w:pStyle w:val="FirstParagraph"/>
      </w:pPr>
      <w:r>
        <w:t xml:space="preserve">In</w:t>
      </w:r>
      <w:r>
        <w:t xml:space="preserve"> </w:t>
      </w:r>
      <w:hyperlink w:anchor="eq-attribute-weights">
        <w:r>
          <w:rPr>
            <w:rStyle w:val="Hyperlink"/>
          </w:rPr>
          <w:t xml:space="preserve">Equation 3</w:t>
        </w:r>
      </w:hyperlink>
      <w:r>
        <w:t xml:space="preserve">,</w:t>
      </w:r>
      <w:r>
        <w:t xml:space="preserve"> </w:t>
      </w:r>
      <m:oMath>
        <m:sSub>
          <m:e>
            <m:r>
              <m:t>w</m:t>
            </m:r>
          </m:e>
          <m:sub>
            <m:r>
              <m:t>c</m:t>
            </m:r>
          </m:sub>
        </m:sSub>
      </m:oMath>
      <w:r>
        <w:t xml:space="preserve"> </w:t>
      </w:r>
      <w:r>
        <w:t xml:space="preserve">is the</w:t>
      </w:r>
      <w:r>
        <w:t xml:space="preserve"> </w:t>
      </w:r>
      <w:r>
        <w:rPr>
          <w:iCs/>
          <w:i/>
        </w:rPr>
        <w:t xml:space="preserve">calculated</w:t>
      </w:r>
      <w:r>
        <w:t xml:space="preserve"> </w:t>
      </w:r>
      <w:r>
        <w:t xml:space="preserve">attribute weight for the purposes of a weighted mean,</w:t>
      </w:r>
      <w:r>
        <w:t xml:space="preserve"> </w:t>
      </w:r>
      <m:oMath>
        <m:sSub>
          <m:e>
            <m:r>
              <m:t>v</m:t>
            </m:r>
          </m:e>
          <m:sub>
            <m:r>
              <m:t>a</m:t>
            </m:r>
          </m:sub>
        </m:sSub>
      </m:oMath>
      <w:r>
        <w:t xml:space="preserve"> </w:t>
      </w:r>
      <w:r>
        <w:t xml:space="preserve">is the value of the attribute (</w:t>
      </w:r>
      <m:oMath>
        <m:sSub>
          <m:e>
            <m:r>
              <m:t>w</m:t>
            </m:r>
          </m:e>
          <m:sub>
            <m:r>
              <m:t>a</m:t>
            </m:r>
          </m:sub>
        </m:sSub>
        <m:r>
          <m:rPr>
            <m:sty m:val="p"/>
          </m:rPr>
          <m:t>×</m:t>
        </m:r>
        <m:sSub>
          <m:e>
            <m:r>
              <m:t>w</m:t>
            </m:r>
          </m:e>
          <m:sub>
            <m:r>
              <m:t>r</m:t>
            </m:r>
          </m:sub>
        </m:sSub>
      </m:oMath>
      <w:r>
        <w:t xml:space="preserve">), and</w:t>
      </w:r>
      <w:r>
        <w:t xml:space="preserve"> </w:t>
      </w:r>
      <m:oMath>
        <m:nary>
          <m:naryPr>
            <m:chr m:val="∑"/>
            <m:limLoc m:val="undOvr"/>
            <m:subHide m:val="0"/>
            <m:supHide m:val="0"/>
          </m:naryPr>
          <m:sub>
            <m:r>
              <m:t>j</m:t>
            </m:r>
            <m:r>
              <m:rPr>
                <m:sty m:val="p"/>
              </m:rPr>
              <m:t>=</m:t>
            </m:r>
            <m:r>
              <m:t>1</m:t>
            </m:r>
          </m:sub>
          <m:sup>
            <m:r>
              <m:t>n</m:t>
            </m:r>
          </m:sup>
          <m:e>
            <m:sSub>
              <m:e>
                <m:r>
                  <m:t>v</m:t>
                </m:r>
              </m:e>
              <m:sub>
                <m:r>
                  <m:t>j</m:t>
                </m:r>
              </m:sub>
            </m:sSub>
          </m:e>
        </m:nary>
      </m:oMath>
      <w:r>
        <w:t xml:space="preserve"> </w:t>
      </w:r>
      <w:r>
        <w:t xml:space="preserve">is the sum of the calculated attribute values.</w:t>
      </w:r>
    </w:p>
    <w:p>
      <w:pPr>
        <w:pStyle w:val="BodyText"/>
      </w:pPr>
      <w:r>
        <w:t xml:space="preserve">The dimension score ($S_d) is then calculated through a standard algorithmic weighted mean in</w:t>
      </w:r>
      <w:r>
        <w:t xml:space="preserve"> </w:t>
      </w:r>
      <w:hyperlink w:anchor="eq-dimension">
        <w:r>
          <w:rPr>
            <w:rStyle w:val="Hyperlink"/>
          </w:rPr>
          <w:t xml:space="preserve">Equation 4</w:t>
        </w:r>
      </w:hyperlink>
      <w:r>
        <w:t xml:space="preserve">.</w:t>
      </w:r>
    </w:p>
    <w:p>
      <w:pPr>
        <w:pStyle w:val="BodyText"/>
      </w:pPr>
      <w:bookmarkStart w:id="69" w:name="eq-dimension"/>
      <m:oMathPara>
        <m:oMathParaPr>
          <m:jc m:val="center"/>
        </m:oMathParaPr>
        <m:oMath>
          <m:sSub>
            <m:e>
              <m:r>
                <m:t>S</m:t>
              </m:r>
            </m:e>
            <m:sub>
              <m:r>
                <m:t>d</m:t>
              </m:r>
            </m:sub>
          </m:sSub>
          <m:r>
            <m:rPr>
              <m:sty m:val="p"/>
            </m:rPr>
            <m:t>=</m:t>
          </m:r>
          <m:f>
            <m:fPr>
              <m:type m:val="bar"/>
            </m:fPr>
            <m:num>
              <m:nary>
                <m:naryPr>
                  <m:chr m:val="∑"/>
                  <m:limLoc m:val="undOvr"/>
                  <m:subHide m:val="0"/>
                  <m:supHide m:val="0"/>
                </m:naryPr>
                <m:sub>
                  <m:r>
                    <m:t>a</m:t>
                  </m:r>
                  <m:r>
                    <m:rPr>
                      <m:sty m:val="p"/>
                    </m:rPr>
                    <m:t>=</m:t>
                  </m:r>
                  <m:r>
                    <m:t>1</m:t>
                  </m:r>
                </m:sub>
                <m:sup>
                  <m:r>
                    <m:t>n</m:t>
                  </m:r>
                </m:sup>
                <m:e>
                  <m:d>
                    <m:dPr>
                      <m:begChr m:val="("/>
                      <m:endChr m:val=")"/>
                      <m:sepChr m:val=""/>
                      <m:grow/>
                    </m:dPr>
                    <m:e>
                      <m:sSub>
                        <m:e>
                          <m:r>
                            <m:t>w</m:t>
                          </m:r>
                        </m:e>
                        <m:sub>
                          <m:r>
                            <m:t>c</m:t>
                          </m:r>
                        </m:sub>
                      </m:sSub>
                      <m:r>
                        <m:rPr>
                          <m:sty m:val="p"/>
                        </m:rPr>
                        <m:t>⋅</m:t>
                      </m:r>
                      <m:sSub>
                        <m:e>
                          <m:r>
                            <m:t>v</m:t>
                          </m:r>
                        </m:e>
                        <m:sub>
                          <m:r>
                            <m:t>a</m:t>
                          </m:r>
                        </m:sub>
                      </m:sSub>
                    </m:e>
                  </m:d>
                </m:e>
              </m:nary>
            </m:num>
            <m:den>
              <m:nary>
                <m:naryPr>
                  <m:chr m:val="∑"/>
                  <m:limLoc m:val="undOvr"/>
                  <m:subHide m:val="0"/>
                  <m:supHide m:val="0"/>
                </m:naryPr>
                <m:sub>
                  <m:r>
                    <m:t>a</m:t>
                  </m:r>
                  <m:r>
                    <m:rPr>
                      <m:sty m:val="p"/>
                    </m:rPr>
                    <m:t>=</m:t>
                  </m:r>
                  <m:r>
                    <m:t>1</m:t>
                  </m:r>
                </m:sub>
                <m:sup>
                  <m:r>
                    <m:t>n</m:t>
                  </m:r>
                </m:sup>
                <m:e>
                  <m:sSub>
                    <m:e>
                      <m:r>
                        <m:t>w</m:t>
                      </m:r>
                    </m:e>
                    <m:sub>
                      <m:r>
                        <m:t>c</m:t>
                      </m:r>
                    </m:sub>
                  </m:sSub>
                </m:e>
              </m:nary>
            </m:den>
          </m:f>
          <m:r>
            <m:t>  </m:t>
          </m:r>
          <m:d>
            <m:dPr>
              <m:begChr m:val="("/>
              <m:endChr m:val=")"/>
              <m:sepChr m:val=""/>
              <m:grow/>
            </m:dPr>
            <m:e>
              <m:r>
                <m:t>4</m:t>
              </m:r>
            </m:e>
          </m:d>
        </m:oMath>
      </m:oMathPara>
      <w:bookmarkEnd w:id="69"/>
    </w:p>
    <w:p>
      <w:pPr>
        <w:pStyle w:val="FirstParagraph"/>
      </w:pPr>
      <w:r>
        <w:t xml:space="preserve">In</w:t>
      </w:r>
      <w:r>
        <w:t xml:space="preserve"> </w:t>
      </w:r>
      <w:hyperlink w:anchor="eq-dimension">
        <w:r>
          <w:rPr>
            <w:rStyle w:val="Hyperlink"/>
          </w:rPr>
          <w:t xml:space="preserve">Equation 4</w:t>
        </w:r>
      </w:hyperlink>
      <w:r>
        <w:t xml:space="preserve">,</w:t>
      </w:r>
      <w:r>
        <w:t xml:space="preserve"> </w:t>
      </w:r>
      <m:oMath>
        <m:sSub>
          <m:e>
            <m:r>
              <m:t>S</m:t>
            </m:r>
          </m:e>
          <m:sub>
            <m:r>
              <m:t>d</m:t>
            </m:r>
          </m:sub>
        </m:sSub>
      </m:oMath>
      <w:r>
        <w:t xml:space="preserve"> </w:t>
      </w:r>
      <w:r>
        <w:t xml:space="preserve">is the dimension score,</w:t>
      </w:r>
      <w:r>
        <w:t xml:space="preserve"> </w:t>
      </w:r>
      <m:oMath>
        <m:nary>
          <m:naryPr>
            <m:chr m:val="∑"/>
            <m:limLoc m:val="undOvr"/>
            <m:subHide m:val="0"/>
            <m:supHide m:val="0"/>
          </m:naryPr>
          <m:sub>
            <m:r>
              <m:t>a</m:t>
            </m:r>
            <m:r>
              <m:rPr>
                <m:sty m:val="p"/>
              </m:rPr>
              <m:t>=</m:t>
            </m:r>
            <m:r>
              <m:t>1</m:t>
            </m:r>
          </m:sub>
          <m:sup>
            <m:r>
              <m:t>n</m:t>
            </m:r>
          </m:sup>
          <m:e>
            <m:d>
              <m:dPr>
                <m:begChr m:val="("/>
                <m:endChr m:val=")"/>
                <m:sepChr m:val=""/>
                <m:grow/>
              </m:dPr>
              <m:e>
                <m:sSub>
                  <m:e>
                    <m:r>
                      <m:t>w</m:t>
                    </m:r>
                  </m:e>
                  <m:sub>
                    <m:r>
                      <m:t>a</m:t>
                    </m:r>
                  </m:sub>
                </m:sSub>
                <m:r>
                  <m:rPr>
                    <m:sty m:val="p"/>
                  </m:rPr>
                  <m:t>⋅</m:t>
                </m:r>
                <m:sSub>
                  <m:e>
                    <m:r>
                      <m:t>v</m:t>
                    </m:r>
                  </m:e>
                  <m:sub>
                    <m:r>
                      <m:t>a</m:t>
                    </m:r>
                  </m:sub>
                </m:sSub>
              </m:e>
            </m:d>
          </m:e>
        </m:nary>
      </m:oMath>
      <w:r>
        <w:t xml:space="preserve"> </w:t>
      </w:r>
      <w:r>
        <w:t xml:space="preserve">is the sum of the product of the attribute values and the calculated weight, and</w:t>
      </w:r>
      <w:r>
        <w:t xml:space="preserve"> </w:t>
      </w:r>
      <m:oMath>
        <m:nary>
          <m:naryPr>
            <m:chr m:val="∑"/>
            <m:limLoc m:val="undOvr"/>
            <m:subHide m:val="0"/>
            <m:supHide m:val="0"/>
          </m:naryPr>
          <m:sub>
            <m:r>
              <m:t>a</m:t>
            </m:r>
            <m:r>
              <m:rPr>
                <m:sty m:val="p"/>
              </m:rPr>
              <m:t>=</m:t>
            </m:r>
            <m:r>
              <m:t>1</m:t>
            </m:r>
          </m:sub>
          <m:sup>
            <m:r>
              <m:t>n</m:t>
            </m:r>
          </m:sup>
          <m:e>
            <m:sSub>
              <m:e>
                <m:r>
                  <m:t>w</m:t>
                </m:r>
              </m:e>
              <m:sub>
                <m:r>
                  <m:t>c</m:t>
                </m:r>
              </m:sub>
            </m:sSub>
          </m:e>
        </m:nary>
      </m:oMath>
      <w:r>
        <w:t xml:space="preserve"> </w:t>
      </w:r>
      <w:r>
        <w:t xml:space="preserve">is the sum of the calculated weights. This results in an</w:t>
      </w:r>
      <w:r>
        <w:t xml:space="preserve"> </w:t>
      </w:r>
      <m:oMath>
        <m:sSub>
          <m:e>
            <m:r>
              <m:t>S</m:t>
            </m:r>
          </m:e>
          <m:sub>
            <m:r>
              <m:t>d</m:t>
            </m:r>
          </m:sub>
        </m:sSub>
      </m:oMath>
      <w:r>
        <w:t xml:space="preserve"> </w:t>
      </w:r>
      <w:r>
        <w:t xml:space="preserve">that falls between 0 and 1 and is normalized to minimize penalties.</w:t>
      </w:r>
    </w:p>
    <w:p>
      <w:pPr>
        <w:pStyle w:val="BodyText"/>
      </w:pPr>
      <w:r>
        <w:t xml:space="preserve">Once the dimension scores (</w:t>
      </w:r>
      <m:oMath>
        <m:sSub>
          <m:e>
            <m:r>
              <m:t>S</m:t>
            </m:r>
          </m:e>
          <m:sub>
            <m:r>
              <m:t>d</m:t>
            </m:r>
          </m:sub>
        </m:sSub>
      </m:oMath>
      <w:r>
        <w:t xml:space="preserve">) within a domain are calculated, the geometric mean of these dimension values are calculated resulting in the domain score (</w:t>
      </w:r>
      <m:oMath>
        <m:sSub>
          <m:e>
            <m:r>
              <m:t>S</m:t>
            </m:r>
          </m:e>
          <m:sub>
            <m:r>
              <m:t>D</m:t>
            </m:r>
          </m:sub>
        </m:sSub>
      </m:oMath>
      <w:r>
        <w:t xml:space="preserve">). In this case, using the geometric mean is justified because of the small sample size and the fact that the attributes are not necessarily on the same</w:t>
      </w:r>
      <w:r>
        <w:t xml:space="preserve"> </w:t>
      </w:r>
      <w:r>
        <w:t xml:space="preserve">“</w:t>
      </w:r>
      <w:r>
        <w:t xml:space="preserve">scale</w:t>
      </w:r>
      <w:r>
        <w:t xml:space="preserve">”</w:t>
      </w:r>
      <w:r>
        <w:t xml:space="preserve"> </w:t>
      </w:r>
      <w:r>
        <w:t xml:space="preserve">with the presence of numerous latent variables</w:t>
      </w:r>
      <w:r>
        <w:t xml:space="preserve"> </w:t>
      </w:r>
      <w:r>
        <w:t xml:space="preserve">(McChesney 2020; McNichol 2022)</w:t>
      </w:r>
      <w:r>
        <w:t xml:space="preserve">. The overall Project Dynamics Score (</w:t>
      </w:r>
      <m:oMath>
        <m:sSub>
          <m:e>
            <m:r>
              <m:t>S</m:t>
            </m:r>
          </m:e>
          <m:sub>
            <m:r>
              <m:t>P</m:t>
            </m:r>
          </m:sub>
        </m:sSub>
      </m:oMath>
      <w:r>
        <w:t xml:space="preserve">) is the geometric mean of all domain scores.</w:t>
      </w:r>
    </w:p>
    <w:bookmarkEnd w:id="70"/>
    <w:bookmarkStart w:id="72" w:name="sec-weightings"/>
    <w:p>
      <w:pPr>
        <w:pStyle w:val="Heading3"/>
      </w:pPr>
      <w:r>
        <w:t xml:space="preserve">2.4.2 Assigned Attribute Weightings Development</w:t>
      </w:r>
    </w:p>
    <w:p>
      <w:pPr>
        <w:pStyle w:val="FirstParagraph"/>
      </w:pPr>
      <w:r>
        <w:t xml:space="preserve">The assigned weightings for each attribute (</w:t>
      </w:r>
      <m:oMath>
        <m:sSub>
          <m:e>
            <m:r>
              <m:t>w</m:t>
            </m:r>
          </m:e>
          <m:sub>
            <m:r>
              <m:t>a</m:t>
            </m:r>
          </m:sub>
        </m:sSub>
      </m:oMath>
      <w:r>
        <w:t xml:space="preserve">) were determined by the members of the expert panel by consensus. Consensus was obtained by asking the panel to rank order the attributes in each dimension using an online Qualtrics form. The panel’s responses were downloaded, cleaned, and saved as a CSV (comma separated values) file. Using the R statistical programming lanugage</w:t>
      </w:r>
      <w:r>
        <w:t xml:space="preserve"> </w:t>
      </w:r>
      <w:r>
        <w:t xml:space="preserve">(Team 2022)</w:t>
      </w:r>
      <w:r>
        <w:t xml:space="preserve"> </w:t>
      </w:r>
      <w:r>
        <w:t xml:space="preserve">and the AnthroTools package</w:t>
      </w:r>
      <w:r>
        <w:t xml:space="preserve"> </w:t>
      </w:r>
      <w:r>
        <w:t xml:space="preserve">(Purzycki and Jamieson-Lane 2017)</w:t>
      </w:r>
      <w:r>
        <w:t xml:space="preserve">, Smith’s Salience Score</w:t>
      </w:r>
      <w:r>
        <w:t xml:space="preserve"> </w:t>
      </w:r>
      <w:r>
        <w:t xml:space="preserve">Smith and Borgatti (1997)</w:t>
      </w:r>
      <w:r>
        <w:t xml:space="preserve"> </w:t>
      </w:r>
      <w:r>
        <w:t xml:space="preserve">was calculated for each dimension. The equation for Smith’s Salience Score (</w:t>
      </w:r>
      <m:oMath>
        <m:sSub>
          <m:e>
            <m:r>
              <m:t>S</m:t>
            </m:r>
          </m:e>
          <m:sub>
            <m:r>
              <m:t>S</m:t>
            </m:r>
          </m:sub>
        </m:sSub>
      </m:oMath>
      <w:r>
        <w:t xml:space="preserve">) is provided in</w:t>
      </w:r>
      <w:r>
        <w:t xml:space="preserve"> </w:t>
      </w:r>
      <w:hyperlink w:anchor="eq-smiths">
        <w:r>
          <w:rPr>
            <w:rStyle w:val="Hyperlink"/>
          </w:rPr>
          <w:t xml:space="preserve">Equation 5</w:t>
        </w:r>
      </w:hyperlink>
      <w:r>
        <w:t xml:space="preserve">.</w:t>
      </w:r>
    </w:p>
    <w:p>
      <w:pPr>
        <w:pStyle w:val="BodyText"/>
      </w:pPr>
      <w:bookmarkStart w:id="71" w:name="eq-smiths"/>
      <m:oMathPara>
        <m:oMathParaPr>
          <m:jc m:val="center"/>
        </m:oMathParaPr>
        <m:oMath>
          <m:sSub>
            <m:e>
              <m:r>
                <m:t>S</m:t>
              </m:r>
            </m:e>
            <m:sub>
              <m:r>
                <m:t>S</m:t>
              </m:r>
            </m:sub>
          </m:sSub>
          <m:r>
            <m:rPr>
              <m:sty m:val="p"/>
            </m:rPr>
            <m:t>=</m:t>
          </m:r>
          <m:f>
            <m:fPr>
              <m:type m:val="bar"/>
            </m:fPr>
            <m:num>
              <m:d>
                <m:dPr>
                  <m:begChr m:val="("/>
                  <m:endChr m:val=")"/>
                  <m:sepChr m:val=""/>
                  <m:grow/>
                </m:dPr>
                <m:e>
                  <m:f>
                    <m:fPr>
                      <m:type m:val="bar"/>
                    </m:fPr>
                    <m:num>
                      <m:d>
                        <m:dPr>
                          <m:begChr m:val="("/>
                          <m:endChr m:val=")"/>
                          <m:sepChr m:val=""/>
                          <m:grow/>
                        </m:dPr>
                        <m:e>
                          <m:r>
                            <m:t>L</m:t>
                          </m:r>
                          <m:r>
                            <m:rPr>
                              <m:sty m:val="p"/>
                            </m:rPr>
                            <m:t>−</m:t>
                          </m:r>
                          <m:sSub>
                            <m:e>
                              <m:r>
                                <m:t>R</m:t>
                              </m:r>
                            </m:e>
                            <m:sub>
                              <m:r>
                                <m:t>j</m:t>
                              </m:r>
                            </m:sub>
                          </m:sSub>
                          <m:r>
                            <m:rPr>
                              <m:sty m:val="p"/>
                            </m:rPr>
                            <m:t>+</m:t>
                          </m:r>
                          <m:r>
                            <m:t>1</m:t>
                          </m:r>
                        </m:e>
                      </m:d>
                    </m:num>
                    <m:den>
                      <m:r>
                        <m:t>L</m:t>
                      </m:r>
                    </m:den>
                  </m:f>
                </m:e>
              </m:d>
            </m:num>
            <m:den>
              <m:r>
                <m:t>N</m:t>
              </m:r>
            </m:den>
          </m:f>
          <m:r>
            <m:t>  </m:t>
          </m:r>
          <m:d>
            <m:dPr>
              <m:begChr m:val="("/>
              <m:endChr m:val=")"/>
              <m:sepChr m:val=""/>
              <m:grow/>
            </m:dPr>
            <m:e>
              <m:r>
                <m:t>5</m:t>
              </m:r>
            </m:e>
          </m:d>
        </m:oMath>
      </m:oMathPara>
      <w:bookmarkEnd w:id="71"/>
    </w:p>
    <w:p>
      <w:pPr>
        <w:pStyle w:val="FirstParagraph"/>
      </w:pPr>
      <w:r>
        <w:t xml:space="preserve">In</w:t>
      </w:r>
      <w:r>
        <w:t xml:space="preserve"> </w:t>
      </w:r>
      <w:hyperlink w:anchor="eq-smiths">
        <w:r>
          <w:rPr>
            <w:rStyle w:val="Hyperlink"/>
          </w:rPr>
          <w:t xml:space="preserve">Equation 5</w:t>
        </w:r>
      </w:hyperlink>
      <w:r>
        <w:t xml:space="preserve">,</w:t>
      </w:r>
      <w:r>
        <w:t xml:space="preserve"> </w:t>
      </w:r>
      <m:oMath>
        <m:r>
          <m:t>L</m:t>
        </m:r>
      </m:oMath>
      <w:r>
        <w:t xml:space="preserve"> </w:t>
      </w:r>
      <w:r>
        <w:t xml:space="preserve">is the length of each list,</w:t>
      </w:r>
      <w:r>
        <w:t xml:space="preserve"> </w:t>
      </w:r>
      <m:oMath>
        <m:sSub>
          <m:e>
            <m:r>
              <m:t>R</m:t>
            </m:r>
          </m:e>
          <m:sub>
            <m:r>
              <m:t>j</m:t>
            </m:r>
          </m:sub>
        </m:sSub>
      </m:oMath>
      <w:r>
        <w:t xml:space="preserve"> </w:t>
      </w:r>
      <w:r>
        <w:t xml:space="preserve">is the rank of item</w:t>
      </w:r>
      <w:r>
        <w:t xml:space="preserve"> </w:t>
      </w:r>
      <m:oMath>
        <m:r>
          <m:t>j</m:t>
        </m:r>
      </m:oMath>
      <w:r>
        <w:t xml:space="preserve">, and</w:t>
      </w:r>
      <w:r>
        <w:t xml:space="preserve"> </w:t>
      </w:r>
      <m:oMath>
        <m:r>
          <m:t>N</m:t>
        </m:r>
      </m:oMath>
      <w:r>
        <w:t xml:space="preserve"> </w:t>
      </w:r>
      <w:r>
        <w:t xml:space="preserve">is the number of lists. The salience scores in each dimension were ordered from highest to lowest and assigned to the appropriate weighting value (</w:t>
      </w:r>
      <m:oMath>
        <m:sSub>
          <m:e>
            <m:r>
              <m:t>w</m:t>
            </m:r>
          </m:e>
          <m:sub>
            <m:r>
              <m:t>a</m:t>
            </m:r>
          </m:sub>
        </m:sSub>
      </m:oMath>
      <w:r>
        <w:t xml:space="preserve">). The weighting assignments can be found in</w:t>
      </w:r>
      <w:r>
        <w:t xml:space="preserve"> </w:t>
      </w:r>
      <w:hyperlink w:anchor="tbl-weightings">
        <w:r>
          <w:rPr>
            <w:rStyle w:val="Hyperlink"/>
          </w:rPr>
          <w:t xml:space="preserve">Table 3</w:t>
        </w:r>
      </w:hyperlink>
      <w:r>
        <w:t xml:space="preserve">.</w:t>
      </w:r>
    </w:p>
    <w:bookmarkEnd w:id="72"/>
    <w:bookmarkStart w:id="77" w:name="example-project-dynamics-visualization"/>
    <w:p>
      <w:pPr>
        <w:pStyle w:val="Heading3"/>
      </w:pPr>
      <w:r>
        <w:t xml:space="preserve">2.4.3 Example Project Dynamics Visualization</w:t>
      </w:r>
    </w:p>
    <w:p>
      <w:pPr>
        <w:pStyle w:val="FirstParagraph"/>
      </w:pPr>
      <w:r>
        <w:t xml:space="preserve">The Project Dynamics Visualization (</w:t>
      </w:r>
      <w:hyperlink w:anchor="fig-dynamics">
        <w:r>
          <w:rPr>
            <w:rStyle w:val="Hyperlink"/>
          </w:rPr>
          <w:t xml:space="preserve">Figure 6</w:t>
        </w:r>
      </w:hyperlink>
      <w:r>
        <w:t xml:space="preserve">) employs the Archimedean spiral</w:t>
      </w:r>
      <w:r>
        <w:t xml:space="preserve"> </w:t>
      </w:r>
      <w:r>
        <w:t xml:space="preserve">(Datasketch 2023)</w:t>
      </w:r>
      <w:r>
        <w:t xml:space="preserve"> </w:t>
      </w:r>
      <w:r>
        <w:t xml:space="preserve">to plot scores, resulting in a distinct organic appearance. This spiral design also offers a balanced visual distribution across the domains, prompting researchers to reflect on whether their investments of effort are appropriately allocated.</w:t>
      </w:r>
    </w:p>
    <w:tbl>
      <w:tblPr>
        <w:tblStyle w:val="Table"/>
        <w:tblW w:type="pct" w:w="5000"/>
        <w:tblLook w:firstRow="0" w:lastRow="0" w:firstColumn="0" w:lastColumn="0" w:noHBand="0" w:noVBand="0" w:val="0000"/>
        <w:jc w:val="start"/>
      </w:tblPr>
      <w:tblGrid>
        <w:gridCol w:w="7920"/>
      </w:tblGrid>
      <w:tr>
        <w:tc>
          <w:tcPr/>
          <w:bookmarkStart w:id="76" w:name="fig-dynamics"/>
          <w:p>
            <w:pPr>
              <w:jc w:val="center"/>
            </w:pPr>
            <w:r>
              <w:drawing>
                <wp:inline>
                  <wp:extent cx="2667000" cy="2667000"/>
                  <wp:effectExtent b="0" l="0" r="0" t="0"/>
                  <wp:docPr descr="" title="" id="74" name="Picture"/>
                  <a:graphic>
                    <a:graphicData uri="http://schemas.openxmlformats.org/drawingml/2006/picture">
                      <pic:pic>
                        <pic:nvPicPr>
                          <pic:cNvPr descr="assets/images/dynamic_visual.png" id="75" name="Picture"/>
                          <pic:cNvPicPr>
                            <a:picLocks noChangeArrowheads="1" noChangeAspect="1"/>
                          </pic:cNvPicPr>
                        </pic:nvPicPr>
                        <pic:blipFill>
                          <a:blip r:embed="rId73"/>
                          <a:stretch>
                            <a:fillRect/>
                          </a:stretch>
                        </pic:blipFill>
                        <pic:spPr bwMode="auto">
                          <a:xfrm>
                            <a:off x="0" y="0"/>
                            <a:ext cx="2667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Project Dynamics Visualization</w:t>
            </w:r>
          </w:p>
          <w:bookmarkEnd w:id="76"/>
        </w:tc>
      </w:tr>
    </w:tbl>
    <w:bookmarkEnd w:id="77"/>
    <w:bookmarkEnd w:id="78"/>
    <w:bookmarkStart w:id="84" w:name="cascade-effects-score-development"/>
    <w:p>
      <w:pPr>
        <w:pStyle w:val="Heading2"/>
      </w:pPr>
      <w:r>
        <w:t xml:space="preserve">2.5 Cascade Effects Score Development</w:t>
      </w:r>
    </w:p>
    <w:p>
      <w:pPr>
        <w:pStyle w:val="FirstParagraph"/>
      </w:pPr>
      <w:r>
        <w:t xml:space="preserve">The Cascade Effects Score provides an indication of how people across networks are impacted by the work of the community engaged research. Calculating</w:t>
      </w:r>
      <w:r>
        <w:t xml:space="preserve"> </w:t>
      </w:r>
      <m:oMath>
        <m:sSub>
          <m:e>
            <m:r>
              <m:t>S</m:t>
            </m:r>
          </m:e>
          <m:sub>
            <m:r>
              <m:t>C</m:t>
            </m:r>
          </m:sub>
        </m:sSub>
      </m:oMath>
      <w:r>
        <w:t xml:space="preserve"> </w:t>
      </w:r>
      <w:r>
        <w:t xml:space="preserve">involves constructing a model of a social network and then utilizing Social Network Analysis methods to quantify the relationships and structure of this model. This process is very different than ripple effects mapping</w:t>
      </w:r>
      <w:r>
        <w:t xml:space="preserve"> </w:t>
      </w:r>
      <w:r>
        <w:t xml:space="preserve">(Chazdon et al. 2017; Muhlestein and McCann 2019; Zimmerman et al. 2019)</w:t>
      </w:r>
      <w:r>
        <w:t xml:space="preserve">, which is an excellent, visual qualitative methodology for mapping effects as the impact moves out from the experience itself. It is more similar to the work of</w:t>
      </w:r>
      <w:r>
        <w:t xml:space="preserve"> </w:t>
      </w:r>
      <w:r>
        <w:t xml:space="preserve">Long, Cunningham, and Braithwaite (2013)</w:t>
      </w:r>
      <w:r>
        <w:t xml:space="preserve"> </w:t>
      </w:r>
      <w:r>
        <w:t xml:space="preserve">which examined the roles participants played based on the structure of the network that formed through the research.</w:t>
      </w:r>
    </w:p>
    <w:p>
      <w:pPr>
        <w:pStyle w:val="BodyText"/>
      </w:pPr>
      <w:r>
        <w:t xml:space="preserve">Three degrees of impact</w:t>
      </w:r>
      <w:r>
        <w:t xml:space="preserve"> </w:t>
      </w:r>
      <w:r>
        <w:t xml:space="preserve">(Christakis and Fowler 2009)</w:t>
      </w:r>
    </w:p>
    <w:p>
      <w:pPr>
        <w:pStyle w:val="BodyText"/>
      </w:pPr>
      <m:oMathPara>
        <m:oMathParaPr>
          <m:jc m:val="center"/>
        </m:oMathParaPr>
        <m:oMath>
          <m:sSub>
            <m:e>
              <m:r>
                <m:t>η</m:t>
              </m:r>
            </m:e>
            <m:sub>
              <m:r>
                <m:t>i</m:t>
              </m:r>
            </m:sub>
          </m:sSub>
          <m:r>
            <m:rPr>
              <m:sty m:val="p"/>
            </m:rPr>
            <m:t>=</m:t>
          </m:r>
          <m:sSub>
            <m:e>
              <m:r>
                <m:t>λ</m:t>
              </m:r>
            </m:e>
            <m:sub>
              <m:r>
                <m:t>i</m:t>
              </m:r>
            </m:sub>
          </m:sSub>
          <m:d>
            <m:dPr>
              <m:begChr m:val="("/>
              <m:endChr m:val=")"/>
              <m:sepChr m:val=""/>
              <m:grow/>
            </m:dPr>
            <m:e>
              <m:sSub>
                <m:e>
                  <m:r>
                    <m:t>N</m:t>
                  </m:r>
                </m:e>
                <m:sub>
                  <m:r>
                    <m:t>i</m:t>
                  </m:r>
                </m:sub>
              </m:sSub>
              <m:r>
                <m:rPr>
                  <m:sty m:val="p"/>
                </m:rPr>
                <m:t>+</m:t>
              </m:r>
              <m:d>
                <m:dPr>
                  <m:begChr m:val="("/>
                  <m:endChr m:val=")"/>
                  <m:sepChr m:val=""/>
                  <m:grow/>
                </m:dPr>
                <m:e>
                  <m:r>
                    <m:t>ϕ</m:t>
                  </m:r>
                  <m:sSub>
                    <m:e>
                      <m:r>
                        <m:t>C</m:t>
                      </m:r>
                    </m:e>
                    <m:sub>
                      <m:r>
                        <m:t>i</m:t>
                      </m:r>
                    </m:sub>
                  </m:sSub>
                </m:e>
              </m:d>
            </m:e>
          </m:d>
        </m:oMath>
      </m:oMathPara>
    </w:p>
    <w:p>
      <w:pPr>
        <w:pStyle w:val="FirstParagraph"/>
      </w:pPr>
      <w:r>
        <w:t xml:space="preserve">where</w:t>
      </w:r>
      <w:r>
        <w:t xml:space="preserve"> </w:t>
      </w:r>
      <m:oMath>
        <m:sSub>
          <m:e>
            <m:r>
              <m:t>η</m:t>
            </m:r>
          </m:e>
          <m:sub>
            <m:r>
              <m:t>i</m:t>
            </m:r>
          </m:sub>
        </m:sSub>
      </m:oMath>
      <w:r>
        <w:t xml:space="preserve"> </w:t>
      </w:r>
      <w:r>
        <w:t xml:space="preserve">is the Cascade Effect Score at stage</w:t>
      </w:r>
      <w:r>
        <w:t xml:space="preserve"> </w:t>
      </w:r>
      <m:oMath>
        <m:r>
          <m:t>i</m:t>
        </m:r>
      </m:oMath>
      <w:r>
        <w:t xml:space="preserve">,</w:t>
      </w:r>
      <w:r>
        <w:t xml:space="preserve"> </w:t>
      </w:r>
      <m:oMath>
        <m:sSub>
          <m:e>
            <m:r>
              <m:t>λ</m:t>
            </m:r>
          </m:e>
          <m:sub>
            <m:r>
              <m:t>i</m:t>
            </m:r>
          </m:sub>
        </m:sSub>
      </m:oMath>
      <w:r>
        <w:t xml:space="preserve"> </w:t>
      </w:r>
      <w:r>
        <w:t xml:space="preserve">is the blah,</w:t>
      </w:r>
      <w:r>
        <w:t xml:space="preserve"> </w:t>
      </w:r>
      <m:oMath>
        <m:sSub>
          <m:e>
            <m:r>
              <m:t>N</m:t>
            </m:r>
          </m:e>
          <m:sub>
            <m:r>
              <m:t>i</m:t>
            </m:r>
          </m:sub>
        </m:sSub>
      </m:oMath>
      <w:r>
        <w:t xml:space="preserve"> </w:t>
      </w:r>
      <w:r>
        <w:t xml:space="preserve">is the blah,</w:t>
      </w:r>
      <w:r>
        <w:t xml:space="preserve"> </w:t>
      </w:r>
      <m:oMath>
        <m:sSub>
          <m:e>
            <m:r>
              <m:t>C</m:t>
            </m:r>
          </m:e>
          <m:sub>
            <m:r>
              <m:t>i</m:t>
            </m:r>
          </m:sub>
        </m:sSub>
      </m:oMath>
      <w:r>
        <w:t xml:space="preserve"> </w:t>
      </w:r>
      <w:r>
        <w:t xml:space="preserve">is the blah, and</w:t>
      </w:r>
      <w:r>
        <w:t xml:space="preserve"> </w:t>
      </w:r>
      <m:oMath>
        <m:r>
          <m:t>ϕ</m:t>
        </m:r>
      </m:oMath>
      <w:r>
        <w:t xml:space="preserve"> </w:t>
      </w:r>
      <w:r>
        <w:t xml:space="preserve">is the blah.</w:t>
      </w:r>
    </w:p>
    <w:p>
      <w:pPr>
        <w:pStyle w:val="BodyText"/>
      </w:pPr>
      <m:oMathPara>
        <m:oMathParaPr>
          <m:jc m:val="center"/>
        </m:oMathParaPr>
        <m:oMath>
          <m:sSub>
            <m:e>
              <m:r>
                <m:t>η</m:t>
              </m:r>
            </m:e>
            <m:sub>
              <m:r>
                <m:t>O</m:t>
              </m:r>
            </m:sub>
          </m:sSub>
          <m:r>
            <m:rPr>
              <m:sty m:val="p"/>
            </m:rPr>
            <m:t>=</m:t>
          </m:r>
          <m:f>
            <m:fPr>
              <m:type m:val="bar"/>
            </m:fPr>
            <m:num>
              <m:nary>
                <m:naryPr>
                  <m:chr m:val="∑"/>
                  <m:limLoc m:val="undOvr"/>
                  <m:subHide m:val="0"/>
                  <m:supHide m:val="0"/>
                </m:naryPr>
                <m:sub>
                  <m:r>
                    <m:t>i</m:t>
                  </m:r>
                  <m:r>
                    <m:rPr>
                      <m:sty m:val="p"/>
                    </m:rPr>
                    <m:t>=</m:t>
                  </m:r>
                  <m:r>
                    <m:t>1</m:t>
                  </m:r>
                </m:sub>
                <m:sup>
                  <m:r>
                    <m:t>n</m:t>
                  </m:r>
                </m:sup>
                <m:e>
                  <m:sSub>
                    <m:e>
                      <m:r>
                        <m:t>η</m:t>
                      </m:r>
                    </m:e>
                    <m:sub>
                      <m:r>
                        <m:t>i</m:t>
                      </m:r>
                    </m:sub>
                  </m:sSub>
                </m:e>
              </m:nary>
            </m:num>
            <m:den>
              <m:r>
                <m:t>n</m:t>
              </m:r>
            </m:den>
          </m:f>
        </m:oMath>
      </m:oMathPara>
    </w:p>
    <w:bookmarkStart w:id="83" w:name="example-cascade-effects-visualization"/>
    <w:p>
      <w:pPr>
        <w:pStyle w:val="Heading3"/>
      </w:pPr>
      <w:r>
        <w:t xml:space="preserve">2.5.1 Example Cascade Effects Visualization</w:t>
      </w:r>
    </w:p>
    <w:tbl>
      <w:tblPr>
        <w:tblStyle w:val="Table"/>
        <w:tblW w:type="pct" w:w="5000"/>
        <w:tblLook w:firstRow="0" w:lastRow="0" w:firstColumn="0" w:lastColumn="0" w:noHBand="0" w:noVBand="0" w:val="0000"/>
        <w:jc w:val="start"/>
      </w:tblPr>
      <w:tblGrid>
        <w:gridCol w:w="7920"/>
      </w:tblGrid>
      <w:tr>
        <w:tc>
          <w:tcPr/>
          <w:bookmarkStart w:id="82" w:name="fig-cascade"/>
          <w:p>
            <w:pPr>
              <w:jc w:val="center"/>
            </w:pPr>
            <w:r>
              <w:drawing>
                <wp:inline>
                  <wp:extent cx="2133600" cy="2075145"/>
                  <wp:effectExtent b="0" l="0" r="0" t="0"/>
                  <wp:docPr descr="" title="" id="80" name="Picture"/>
                  <a:graphic>
                    <a:graphicData uri="http://schemas.openxmlformats.org/drawingml/2006/picture">
                      <pic:pic>
                        <pic:nvPicPr>
                          <pic:cNvPr descr="assets/images/cascade_visual.png" id="81" name="Picture"/>
                          <pic:cNvPicPr>
                            <a:picLocks noChangeArrowheads="1" noChangeAspect="1"/>
                          </pic:cNvPicPr>
                        </pic:nvPicPr>
                        <pic:blipFill>
                          <a:blip r:embed="rId79"/>
                          <a:stretch>
                            <a:fillRect/>
                          </a:stretch>
                        </pic:blipFill>
                        <pic:spPr bwMode="auto">
                          <a:xfrm>
                            <a:off x="0" y="0"/>
                            <a:ext cx="2133600" cy="20751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Example Cascade Effects Visualization</w:t>
            </w:r>
          </w:p>
          <w:bookmarkEnd w:id="82"/>
        </w:tc>
      </w:tr>
    </w:tbl>
    <w:bookmarkEnd w:id="83"/>
    <w:bookmarkEnd w:id="84"/>
    <w:bookmarkEnd w:id="85"/>
    <w:bookmarkStart w:id="87" w:name="centrimpact-in-use"/>
    <w:p>
      <w:pPr>
        <w:pStyle w:val="Heading1"/>
      </w:pPr>
      <w:r>
        <w:t xml:space="preserve">3. CEnTR*IMPACT in Use</w:t>
      </w:r>
    </w:p>
    <w:p>
      <w:pPr>
        <w:pStyle w:val="FirstParagraph"/>
      </w:pPr>
      <w:r>
        <w:t xml:space="preserve">Quarto enables you to weave together content and executable code into a finished document. To learn more about Quarto see</w:t>
      </w:r>
      <w:r>
        <w:t xml:space="preserve"> </w:t>
      </w:r>
      <w:hyperlink r:id="rId86">
        <w:r>
          <w:rPr>
            <w:rStyle w:val="Hyperlink"/>
          </w:rPr>
          <w:t xml:space="preserve">https://quarto.org</w:t>
        </w:r>
      </w:hyperlink>
      <w:r>
        <w:t xml:space="preserve">.</w:t>
      </w:r>
    </w:p>
    <w:bookmarkEnd w:id="87"/>
    <w:bookmarkStart w:id="88" w:name="continued-trajectories"/>
    <w:p>
      <w:pPr>
        <w:pStyle w:val="Heading1"/>
      </w:pPr>
      <w:r>
        <w:t xml:space="preserve">4. Continued Trajectories</w:t>
      </w:r>
    </w:p>
    <w:p>
      <w:pPr>
        <w:pStyle w:val="FirstParagraph"/>
      </w:pPr>
      <w:r>
        <w:t xml:space="preserve">You can add options to executable code like this</w:t>
      </w:r>
    </w:p>
    <w:p>
      <w:pPr>
        <w:pStyle w:val="BodyText"/>
      </w:pPr>
      <w:r>
        <w:t xml:space="preserve">The</w:t>
      </w:r>
      <w:r>
        <w:t xml:space="preserve"> </w:t>
      </w:r>
      <w:r>
        <w:rPr>
          <w:rStyle w:val="VerbatimChar"/>
        </w:rPr>
        <w:t xml:space="preserve">echo: false</w:t>
      </w:r>
      <w:r>
        <w:t xml:space="preserve"> </w:t>
      </w:r>
      <w:r>
        <w:t xml:space="preserve">option disables the printing of code (only output is displayed).</w:t>
      </w:r>
    </w:p>
    <w:bookmarkEnd w:id="88"/>
    <w:bookmarkStart w:id="94" w:name="appendix-1-tables"/>
    <w:p>
      <w:pPr>
        <w:pStyle w:val="Heading1"/>
      </w:pPr>
      <w:r>
        <w:t xml:space="preserve">5. Appendix 1: Tables</w:t>
      </w:r>
    </w:p>
    <w:bookmarkStart w:id="91" w:name="q-sort-results"/>
    <w:p>
      <w:pPr>
        <w:pStyle w:val="Heading2"/>
      </w:pPr>
      <w:r>
        <w:t xml:space="preserve">5.1 Q Sort Results</w:t>
      </w:r>
    </w:p>
    <w:bookmarkStart w:id="90" w:name="tbl-qsort"/>
    <w:p>
      <w:pPr>
        <w:pStyle w:val="TableCaption"/>
      </w:pPr>
      <w:r>
        <w:t xml:space="preserve">Table 2: Q Sort results</w:t>
      </w:r>
      <w:r>
        <w:rPr>
          <w:rStyle w:val="FootnoteReference"/>
        </w:rPr>
        <w:footnoteReference w:id="89"/>
      </w:r>
    </w:p>
    <w:tbl>
      <w:tblPr>
        <w:tblStyle w:val="Table"/>
        <w:tblW w:type="pct" w:w="5000"/>
        <w:tblLook w:firstRow="1" w:lastRow="0" w:firstColumn="0" w:lastColumn="0" w:noHBand="0" w:noVBand="0" w:val="0020"/>
        <w:jc w:val="start"/>
        <w:tblCaption w:val="Table 2: Q Sort results"/>
      </w:tblPr>
      <w:tblGrid>
        <w:gridCol w:w="1980"/>
        <w:gridCol w:w="1188"/>
        <w:gridCol w:w="4752"/>
      </w:tblGrid>
      <w:tr>
        <w:trPr>
          <w:tblHeader w:val="true"/>
        </w:trPr>
        <w:tc>
          <w:tcPr/>
          <w:p>
            <w:pPr>
              <w:pStyle w:val="Compact"/>
              <w:jc w:val="left"/>
            </w:pPr>
            <w:r>
              <w:rPr>
                <w:bCs/>
                <w:b/>
              </w:rPr>
              <w:t xml:space="preserve">Factor</w:t>
            </w:r>
          </w:p>
        </w:tc>
        <w:tc>
          <w:tcPr/>
          <w:p>
            <w:pPr>
              <w:pStyle w:val="Compact"/>
              <w:jc w:val="center"/>
            </w:pPr>
            <w:r>
              <w:rPr>
                <w:bCs/>
                <w:b/>
              </w:rPr>
              <w:t xml:space="preserve">Q Sort Value</w:t>
            </w:r>
          </w:p>
        </w:tc>
        <w:tc>
          <w:tcPr/>
          <w:p>
            <w:pPr>
              <w:pStyle w:val="Compact"/>
              <w:jc w:val="left"/>
            </w:pPr>
            <w:r>
              <w:rPr>
                <w:bCs/>
                <w:b/>
              </w:rPr>
              <w:t xml:space="preserve">Statement</w:t>
            </w:r>
          </w:p>
        </w:tc>
      </w:tr>
      <w:tr>
        <w:tc>
          <w:tcPr/>
          <w:p>
            <w:pPr>
              <w:pStyle w:val="Compact"/>
              <w:jc w:val="left"/>
            </w:pPr>
            <w:r>
              <w:rPr>
                <w:iCs/>
                <w:i/>
              </w:rPr>
              <w:t xml:space="preserve">Alignment and Values</w:t>
            </w:r>
          </w:p>
        </w:tc>
        <w:tc>
          <w:tcPr/>
          <w:p>
            <w:pPr>
              <w:pStyle w:val="Compact"/>
              <w:jc w:val="center"/>
            </w:pPr>
            <w:r>
              <w:t xml:space="preserve">3</w:t>
            </w:r>
          </w:p>
        </w:tc>
        <w:tc>
          <w:tcPr/>
          <w:p>
            <w:pPr>
              <w:pStyle w:val="Compact"/>
              <w:jc w:val="left"/>
            </w:pPr>
            <w:r>
              <w:t xml:space="preserve">Identifying the degree to which participants and researchers share decision making authority for the construction of infrastructure products is important to evaluate a community engaged project.</w:t>
            </w:r>
          </w:p>
        </w:tc>
      </w:tr>
      <w:tr>
        <w:tc>
          <w:tcPr/>
          <w:p>
            <w:pPr>
              <w:pStyle w:val="Compact"/>
            </w:pPr>
          </w:p>
        </w:tc>
        <w:tc>
          <w:tcPr/>
          <w:p>
            <w:pPr>
              <w:pStyle w:val="Compact"/>
              <w:jc w:val="center"/>
            </w:pPr>
            <w:r>
              <w:t xml:space="preserve">3</w:t>
            </w:r>
          </w:p>
        </w:tc>
        <w:tc>
          <w:tcPr/>
          <w:p>
            <w:pPr>
              <w:pStyle w:val="Compact"/>
              <w:jc w:val="left"/>
            </w:pPr>
            <w:r>
              <w:t xml:space="preserve">An indicator of success for a community engaged research project is the degree to which the products created are prioritized to include what the participants want or need.</w:t>
            </w:r>
          </w:p>
        </w:tc>
      </w:tr>
      <w:tr>
        <w:tc>
          <w:tcPr/>
          <w:p>
            <w:pPr>
              <w:pStyle w:val="Compact"/>
            </w:pPr>
          </w:p>
        </w:tc>
        <w:tc>
          <w:tcPr/>
          <w:p>
            <w:pPr>
              <w:pStyle w:val="Compact"/>
              <w:jc w:val="center"/>
            </w:pPr>
            <w:r>
              <w:t xml:space="preserve">2</w:t>
            </w:r>
          </w:p>
        </w:tc>
        <w:tc>
          <w:tcPr/>
          <w:p>
            <w:pPr>
              <w:pStyle w:val="Compact"/>
              <w:jc w:val="left"/>
            </w:pPr>
            <w:r>
              <w:t xml:space="preserve">Recognizing time spent on building relationships, relevance, and trust is essential for understanding a community engaged project’s success.</w:t>
            </w:r>
          </w:p>
        </w:tc>
      </w:tr>
      <w:tr>
        <w:tc>
          <w:tcPr/>
          <w:p>
            <w:pPr>
              <w:pStyle w:val="Compact"/>
            </w:pPr>
          </w:p>
        </w:tc>
        <w:tc>
          <w:tcPr/>
          <w:p>
            <w:pPr>
              <w:pStyle w:val="Compact"/>
              <w:jc w:val="center"/>
            </w:pPr>
            <w:r>
              <w:t xml:space="preserve">2</w:t>
            </w:r>
          </w:p>
        </w:tc>
        <w:tc>
          <w:tcPr/>
          <w:p>
            <w:pPr>
              <w:pStyle w:val="Compact"/>
              <w:jc w:val="left"/>
            </w:pPr>
            <w:r>
              <w:t xml:space="preserve">It is essential to know that a community engaged project reaches people who are marginalized for different reasons.</w:t>
            </w:r>
          </w:p>
        </w:tc>
      </w:tr>
      <w:tr>
        <w:tc>
          <w:tcPr/>
          <w:p>
            <w:pPr>
              <w:pStyle w:val="Compact"/>
            </w:pPr>
          </w:p>
        </w:tc>
        <w:tc>
          <w:tcPr/>
          <w:p>
            <w:pPr>
              <w:pStyle w:val="Compact"/>
              <w:jc w:val="center"/>
            </w:pPr>
            <w:r>
              <w:t xml:space="preserve">2</w:t>
            </w:r>
          </w:p>
        </w:tc>
        <w:tc>
          <w:tcPr/>
          <w:p>
            <w:pPr>
              <w:pStyle w:val="Compact"/>
              <w:jc w:val="left"/>
            </w:pPr>
            <w:r>
              <w:t xml:space="preserve">An indicator of success for a community engaged research project is how well set up it is to be sustainable beyond the participation of the research team.</w:t>
            </w:r>
          </w:p>
        </w:tc>
      </w:tr>
      <w:tr>
        <w:tc>
          <w:tcPr/>
          <w:p>
            <w:pPr>
              <w:pStyle w:val="Compact"/>
            </w:pPr>
          </w:p>
        </w:tc>
        <w:tc>
          <w:tcPr/>
          <w:p>
            <w:pPr>
              <w:pStyle w:val="Compact"/>
              <w:jc w:val="center"/>
            </w:pPr>
            <w:r>
              <w:t xml:space="preserve">-2</w:t>
            </w:r>
          </w:p>
        </w:tc>
        <w:tc>
          <w:tcPr/>
          <w:p>
            <w:pPr>
              <w:pStyle w:val="Compact"/>
              <w:jc w:val="left"/>
            </w:pPr>
            <w:r>
              <w:t xml:space="preserve">An important indicator of a community engaged project’s success is the number of contact hours (virtual or in-person).</w:t>
            </w:r>
          </w:p>
        </w:tc>
      </w:tr>
      <w:tr>
        <w:tc>
          <w:tcPr/>
          <w:p>
            <w:pPr>
              <w:pStyle w:val="Compact"/>
            </w:pPr>
          </w:p>
        </w:tc>
        <w:tc>
          <w:tcPr/>
          <w:p>
            <w:pPr>
              <w:pStyle w:val="Compact"/>
              <w:jc w:val="center"/>
            </w:pPr>
            <w:r>
              <w:t xml:space="preserve">-3</w:t>
            </w:r>
          </w:p>
        </w:tc>
        <w:tc>
          <w:tcPr/>
          <w:p>
            <w:pPr>
              <w:pStyle w:val="Compact"/>
              <w:jc w:val="left"/>
            </w:pPr>
            <w:r>
              <w:t xml:space="preserve">The number of people participating in a community engaged project is an important indicator of success.</w:t>
            </w:r>
          </w:p>
        </w:tc>
      </w:tr>
      <w:tr>
        <w:tc>
          <w:tcPr/>
          <w:p>
            <w:pPr>
              <w:pStyle w:val="Compact"/>
            </w:pPr>
          </w:p>
        </w:tc>
        <w:tc>
          <w:tcPr/>
          <w:p>
            <w:pPr>
              <w:pStyle w:val="Compact"/>
            </w:pPr>
          </w:p>
        </w:tc>
        <w:tc>
          <w:tcPr/>
          <w:p>
            <w:pPr>
              <w:pStyle w:val="Compact"/>
            </w:pPr>
          </w:p>
        </w:tc>
      </w:tr>
      <w:tr>
        <w:tc>
          <w:tcPr/>
          <w:p>
            <w:pPr>
              <w:pStyle w:val="Compact"/>
              <w:jc w:val="left"/>
            </w:pPr>
            <w:r>
              <w:rPr>
                <w:iCs/>
                <w:i/>
              </w:rPr>
              <w:t xml:space="preserve">Purposes and Processes</w:t>
            </w:r>
          </w:p>
        </w:tc>
        <w:tc>
          <w:tcPr/>
          <w:p>
            <w:pPr>
              <w:pStyle w:val="Compact"/>
              <w:jc w:val="center"/>
            </w:pPr>
            <w:r>
              <w:t xml:space="preserve">3</w:t>
            </w:r>
          </w:p>
        </w:tc>
        <w:tc>
          <w:tcPr/>
          <w:p>
            <w:pPr>
              <w:pStyle w:val="Compact"/>
              <w:jc w:val="left"/>
            </w:pPr>
            <w:r>
              <w:t xml:space="preserve">It is important to recognize the purposes (from promoting efficiency to honoring participants’ voices) for creating infrastructure products to evaluate a community engaged project.</w:t>
            </w:r>
          </w:p>
        </w:tc>
      </w:tr>
      <w:tr>
        <w:tc>
          <w:tcPr/>
          <w:p>
            <w:pPr>
              <w:pStyle w:val="Compact"/>
            </w:pPr>
          </w:p>
        </w:tc>
        <w:tc>
          <w:tcPr/>
          <w:p>
            <w:pPr>
              <w:pStyle w:val="Compact"/>
              <w:jc w:val="center"/>
            </w:pPr>
            <w:r>
              <w:t xml:space="preserve">3</w:t>
            </w:r>
          </w:p>
        </w:tc>
        <w:tc>
          <w:tcPr/>
          <w:p>
            <w:pPr>
              <w:pStyle w:val="Compact"/>
              <w:jc w:val="left"/>
            </w:pPr>
            <w:r>
              <w:t xml:space="preserve">An indicator of success for a community engaged research project is the degree to which the products created are prioritized to include what the participants want or need.</w:t>
            </w:r>
          </w:p>
        </w:tc>
      </w:tr>
      <w:tr>
        <w:tc>
          <w:tcPr/>
          <w:p>
            <w:pPr>
              <w:pStyle w:val="Compact"/>
            </w:pPr>
          </w:p>
        </w:tc>
        <w:tc>
          <w:tcPr/>
          <w:p>
            <w:pPr>
              <w:pStyle w:val="Compact"/>
              <w:jc w:val="center"/>
            </w:pPr>
            <w:r>
              <w:t xml:space="preserve">2</w:t>
            </w:r>
          </w:p>
        </w:tc>
        <w:tc>
          <w:tcPr/>
          <w:p>
            <w:pPr>
              <w:pStyle w:val="Compact"/>
              <w:jc w:val="left"/>
            </w:pPr>
            <w:r>
              <w:t xml:space="preserve">Attention to the degree of variation in participant roles and standpoints is an important contributor to success in a community engaged project.</w:t>
            </w:r>
          </w:p>
        </w:tc>
      </w:tr>
      <w:tr>
        <w:tc>
          <w:tcPr/>
          <w:p>
            <w:pPr>
              <w:pStyle w:val="Compact"/>
            </w:pPr>
          </w:p>
        </w:tc>
        <w:tc>
          <w:tcPr/>
          <w:p>
            <w:pPr>
              <w:pStyle w:val="Compact"/>
              <w:jc w:val="center"/>
            </w:pPr>
            <w:r>
              <w:t xml:space="preserve">2</w:t>
            </w:r>
          </w:p>
        </w:tc>
        <w:tc>
          <w:tcPr/>
          <w:p>
            <w:pPr>
              <w:pStyle w:val="Compact"/>
              <w:jc w:val="left"/>
            </w:pPr>
            <w:r>
              <w:t xml:space="preserve">One way to evaluate a community engaged project is by the infrastructures (documents, processes, guidelines, etc.) that are generated along the way.</w:t>
            </w:r>
          </w:p>
        </w:tc>
      </w:tr>
      <w:tr>
        <w:tc>
          <w:tcPr/>
          <w:p>
            <w:pPr>
              <w:pStyle w:val="Compact"/>
            </w:pPr>
          </w:p>
        </w:tc>
        <w:tc>
          <w:tcPr/>
          <w:p>
            <w:pPr>
              <w:pStyle w:val="Compact"/>
              <w:jc w:val="center"/>
            </w:pPr>
            <w:r>
              <w:t xml:space="preserve">2</w:t>
            </w:r>
          </w:p>
        </w:tc>
        <w:tc>
          <w:tcPr/>
          <w:p>
            <w:pPr>
              <w:pStyle w:val="Compact"/>
              <w:jc w:val="left"/>
            </w:pPr>
            <w:r>
              <w:t xml:space="preserve">An indicator of success for a community engaged research project is how well set up it is to be sustainable beyond the participation of the research team.</w:t>
            </w:r>
          </w:p>
        </w:tc>
      </w:tr>
      <w:tr>
        <w:tc>
          <w:tcPr/>
          <w:p>
            <w:pPr>
              <w:pStyle w:val="Compact"/>
            </w:pPr>
          </w:p>
        </w:tc>
        <w:tc>
          <w:tcPr/>
          <w:p>
            <w:pPr>
              <w:pStyle w:val="Compact"/>
              <w:jc w:val="center"/>
            </w:pPr>
            <w:r>
              <w:t xml:space="preserve">-2</w:t>
            </w:r>
          </w:p>
        </w:tc>
        <w:tc>
          <w:tcPr/>
          <w:p>
            <w:pPr>
              <w:pStyle w:val="Compact"/>
              <w:jc w:val="left"/>
            </w:pPr>
            <w:r>
              <w:t xml:space="preserve">How responsibility is distributed across the research team and the participants is an important way to evaluate a community engaged project.</w:t>
            </w:r>
          </w:p>
        </w:tc>
      </w:tr>
      <w:tr>
        <w:tc>
          <w:tcPr/>
          <w:p>
            <w:pPr>
              <w:pStyle w:val="Compact"/>
            </w:pPr>
          </w:p>
        </w:tc>
        <w:tc>
          <w:tcPr/>
          <w:p>
            <w:pPr>
              <w:pStyle w:val="Compact"/>
              <w:jc w:val="center"/>
            </w:pPr>
            <w:r>
              <w:t xml:space="preserve">-2</w:t>
            </w:r>
          </w:p>
        </w:tc>
        <w:tc>
          <w:tcPr/>
          <w:p>
            <w:pPr>
              <w:pStyle w:val="Compact"/>
              <w:jc w:val="left"/>
            </w:pPr>
            <w:r>
              <w:t xml:space="preserve">The level of input the participants and partners have in determining the experience of students in course engaged learning can help evaluate a community engaged project.</w:t>
            </w:r>
          </w:p>
        </w:tc>
      </w:tr>
      <w:tr>
        <w:tc>
          <w:tcPr/>
          <w:p>
            <w:pPr>
              <w:pStyle w:val="Compact"/>
            </w:pPr>
          </w:p>
        </w:tc>
        <w:tc>
          <w:tcPr/>
          <w:p>
            <w:pPr>
              <w:pStyle w:val="Compact"/>
              <w:jc w:val="center"/>
            </w:pPr>
            <w:r>
              <w:t xml:space="preserve">-2</w:t>
            </w:r>
          </w:p>
        </w:tc>
        <w:tc>
          <w:tcPr/>
          <w:p>
            <w:pPr>
              <w:pStyle w:val="Compact"/>
              <w:jc w:val="left"/>
            </w:pPr>
            <w:r>
              <w:t xml:space="preserve">The level of input the participants and partners have in determining the experience of students in course engaged learning can help evaluate a community engaged project.</w:t>
            </w:r>
          </w:p>
        </w:tc>
      </w:tr>
    </w:tbl>
    <w:bookmarkEnd w:id="90"/>
    <w:bookmarkEnd w:id="91"/>
    <w:bookmarkStart w:id="93" w:name="descriptor-weightings"/>
    <w:p>
      <w:pPr>
        <w:pStyle w:val="Heading2"/>
      </w:pPr>
      <w:r>
        <w:t xml:space="preserve">5.2 Descriptor Weightings</w:t>
      </w:r>
    </w:p>
    <w:bookmarkStart w:id="92" w:name="tbl-weightings"/>
    <w:p>
      <w:pPr>
        <w:pStyle w:val="TableCaption"/>
      </w:pPr>
      <w:r>
        <w:t xml:space="preserve">Table 3: Descriptor Weightings</w:t>
      </w:r>
    </w:p>
    <w:tbl>
      <w:tblPr>
        <w:tblStyle w:val="Table"/>
        <w:tblW w:type="pct" w:w="5000"/>
        <w:tblLook w:firstRow="1" w:lastRow="0" w:firstColumn="0" w:lastColumn="0" w:noHBand="0" w:noVBand="0" w:val="0020"/>
        <w:jc w:val="start"/>
        <w:tblCaption w:val="Table 3: Descriptor Weightings"/>
      </w:tblPr>
      <w:tblGrid>
        <w:gridCol w:w="1584"/>
        <w:gridCol w:w="1584"/>
        <w:gridCol w:w="3168"/>
        <w:gridCol w:w="792"/>
        <w:gridCol w:w="792"/>
      </w:tblGrid>
      <w:tr>
        <w:trPr>
          <w:tblHeader w:val="true"/>
        </w:trPr>
        <w:tc>
          <w:tcPr/>
          <w:p>
            <w:pPr>
              <w:pStyle w:val="Compact"/>
              <w:jc w:val="left"/>
            </w:pPr>
            <w:r>
              <w:rPr>
                <w:bCs/>
                <w:b/>
              </w:rPr>
              <w:t xml:space="preserve">Area</w:t>
            </w:r>
          </w:p>
        </w:tc>
        <w:tc>
          <w:tcPr/>
          <w:p>
            <w:pPr>
              <w:pStyle w:val="Compact"/>
              <w:jc w:val="left"/>
            </w:pPr>
            <w:r>
              <w:rPr>
                <w:bCs/>
                <w:b/>
              </w:rPr>
              <w:t xml:space="preserve">Factor</w:t>
            </w:r>
          </w:p>
        </w:tc>
        <w:tc>
          <w:tcPr/>
          <w:p>
            <w:pPr>
              <w:pStyle w:val="Compact"/>
              <w:jc w:val="left"/>
            </w:pPr>
            <w:r>
              <w:rPr>
                <w:bCs/>
                <w:b/>
              </w:rPr>
              <w:t xml:space="preserve">Descriptor</w:t>
            </w:r>
          </w:p>
        </w:tc>
        <w:tc>
          <w:tcPr/>
          <w:p>
            <w:pPr>
              <w:pStyle w:val="Compact"/>
              <w:jc w:val="right"/>
            </w:pPr>
            <w:r>
              <w:rPr>
                <w:bCs/>
                <w:b/>
              </w:rPr>
              <w:t xml:space="preserve">Salience</w:t>
            </w:r>
          </w:p>
        </w:tc>
        <w:tc>
          <w:tcPr/>
          <w:p>
            <w:pPr>
              <w:pStyle w:val="Compact"/>
              <w:jc w:val="right"/>
            </w:pPr>
            <w:r>
              <w:rPr>
                <w:bCs/>
                <w:b/>
              </w:rPr>
              <w:t xml:space="preserve">Weight</w:t>
            </w:r>
          </w:p>
        </w:tc>
      </w:tr>
      <w:tr>
        <w:tc>
          <w:tcPr/>
          <w:p>
            <w:pPr>
              <w:pStyle w:val="Compact"/>
              <w:jc w:val="left"/>
            </w:pPr>
            <w:r>
              <w:rPr>
                <w:iCs/>
                <w:i/>
                <w:bCs/>
                <w:b/>
              </w:rPr>
              <w:t xml:space="preserve">Contexts</w:t>
            </w:r>
          </w:p>
        </w:tc>
        <w:tc>
          <w:tcPr/>
          <w:p>
            <w:pPr>
              <w:pStyle w:val="Compact"/>
              <w:jc w:val="left"/>
            </w:pPr>
            <w:r>
              <w:rPr>
                <w:bCs/>
                <w:b/>
              </w:rPr>
              <w:t xml:space="preserve">Challenge Origin</w:t>
            </w:r>
          </w:p>
        </w:tc>
        <w:tc>
          <w:tcPr/>
          <w:p>
            <w:pPr>
              <w:pStyle w:val="Compact"/>
              <w:jc w:val="left"/>
            </w:pPr>
            <w:r>
              <w:t xml:space="preserve">There were ongoing negotiations between the Research Team and the Community</w:t>
            </w:r>
          </w:p>
        </w:tc>
        <w:tc>
          <w:tcPr/>
          <w:p>
            <w:pPr>
              <w:pStyle w:val="Compact"/>
              <w:jc w:val="right"/>
            </w:pPr>
            <w:r>
              <w:t xml:space="preserve">1</w:t>
            </w:r>
          </w:p>
        </w:tc>
        <w:tc>
          <w:tcPr/>
          <w:p>
            <w:pPr>
              <w:pStyle w:val="Compact"/>
              <w:jc w:val="right"/>
            </w:pPr>
            <w:r>
              <w:t xml:space="preserve">1</w:t>
            </w:r>
          </w:p>
        </w:tc>
      </w:tr>
      <w:tr>
        <w:tc>
          <w:tcPr/>
          <w:p>
            <w:pPr>
              <w:pStyle w:val="Compact"/>
            </w:pPr>
          </w:p>
        </w:tc>
        <w:tc>
          <w:tcPr/>
          <w:p>
            <w:pPr>
              <w:pStyle w:val="Compact"/>
            </w:pPr>
          </w:p>
        </w:tc>
        <w:tc>
          <w:tcPr/>
          <w:p>
            <w:pPr>
              <w:pStyle w:val="Compact"/>
              <w:jc w:val="left"/>
            </w:pPr>
            <w:r>
              <w:t xml:space="preserve">The Community identified the challenge or issue</w:t>
            </w:r>
          </w:p>
        </w:tc>
        <w:tc>
          <w:tcPr/>
          <w:p>
            <w:pPr>
              <w:pStyle w:val="Compact"/>
              <w:jc w:val="right"/>
            </w:pPr>
            <w:r>
              <w:t xml:space="preserve">0.8</w:t>
            </w:r>
          </w:p>
        </w:tc>
        <w:tc>
          <w:tcPr/>
          <w:p>
            <w:pPr>
              <w:pStyle w:val="Compact"/>
              <w:jc w:val="right"/>
            </w:pPr>
            <w:r>
              <w:t xml:space="preserve">0.95</w:t>
            </w:r>
          </w:p>
        </w:tc>
      </w:tr>
      <w:tr>
        <w:tc>
          <w:tcPr/>
          <w:p>
            <w:pPr>
              <w:pStyle w:val="Compact"/>
            </w:pPr>
          </w:p>
        </w:tc>
        <w:tc>
          <w:tcPr/>
          <w:p>
            <w:pPr>
              <w:pStyle w:val="Compact"/>
            </w:pPr>
          </w:p>
        </w:tc>
        <w:tc>
          <w:tcPr/>
          <w:p>
            <w:pPr>
              <w:pStyle w:val="Compact"/>
              <w:jc w:val="left"/>
            </w:pPr>
            <w:r>
              <w:t xml:space="preserve">The Community refined the challenge or issue</w:t>
            </w:r>
          </w:p>
        </w:tc>
        <w:tc>
          <w:tcPr/>
          <w:p>
            <w:pPr>
              <w:pStyle w:val="Compact"/>
              <w:jc w:val="right"/>
            </w:pPr>
            <w:r>
              <w:t xml:space="preserve">0.6</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The Research Team refined the challenge or issue</w:t>
            </w:r>
          </w:p>
        </w:tc>
        <w:tc>
          <w:tcPr/>
          <w:p>
            <w:pPr>
              <w:pStyle w:val="Compact"/>
              <w:jc w:val="right"/>
            </w:pPr>
            <w:r>
              <w:t xml:space="preserve">0.4</w:t>
            </w:r>
          </w:p>
        </w:tc>
        <w:tc>
          <w:tcPr/>
          <w:p>
            <w:pPr>
              <w:pStyle w:val="Compact"/>
              <w:jc w:val="right"/>
            </w:pPr>
            <w:r>
              <w:t xml:space="preserve">0.84</w:t>
            </w:r>
          </w:p>
        </w:tc>
      </w:tr>
      <w:tr>
        <w:tc>
          <w:tcPr/>
          <w:p>
            <w:pPr>
              <w:pStyle w:val="Compact"/>
            </w:pPr>
          </w:p>
        </w:tc>
        <w:tc>
          <w:tcPr/>
          <w:p>
            <w:pPr>
              <w:pStyle w:val="Compact"/>
            </w:pPr>
          </w:p>
        </w:tc>
        <w:tc>
          <w:tcPr/>
          <w:p>
            <w:pPr>
              <w:pStyle w:val="Compact"/>
              <w:jc w:val="left"/>
            </w:pPr>
            <w:r>
              <w:t xml:space="preserve">The Research Team identified the challenge or issue</w:t>
            </w:r>
          </w:p>
        </w:tc>
        <w:tc>
          <w:tcPr/>
          <w:p>
            <w:pPr>
              <w:pStyle w:val="Compact"/>
              <w:jc w:val="right"/>
            </w:pPr>
            <w:r>
              <w:t xml:space="preserve">0.2</w:t>
            </w:r>
          </w:p>
        </w:tc>
        <w:tc>
          <w:tcPr/>
          <w:p>
            <w:pPr>
              <w:pStyle w:val="Compact"/>
              <w:jc w:val="right"/>
            </w:pPr>
            <w:r>
              <w:t xml:space="preserve">0.78</w:t>
            </w:r>
          </w:p>
        </w:tc>
      </w:tr>
      <w:tr>
        <w:tc>
          <w:tcPr/>
          <w:p>
            <w:pPr>
              <w:pStyle w:val="Compact"/>
            </w:pPr>
          </w:p>
        </w:tc>
        <w:tc>
          <w:tcPr/>
          <w:p>
            <w:pPr>
              <w:pStyle w:val="Compact"/>
              <w:jc w:val="left"/>
            </w:pPr>
            <w:r>
              <w:rPr>
                <w:bCs/>
                <w:b/>
              </w:rPr>
              <w:t xml:space="preserve">Diversity</w:t>
            </w:r>
          </w:p>
        </w:tc>
        <w:tc>
          <w:tcPr/>
          <w:p>
            <w:pPr>
              <w:pStyle w:val="Compact"/>
              <w:jc w:val="left"/>
            </w:pPr>
            <w:r>
              <w:t xml:space="preserve">There are overlaps in identity memberships between the Research Team and the Community</w:t>
            </w:r>
          </w:p>
        </w:tc>
        <w:tc>
          <w:tcPr/>
          <w:p>
            <w:pPr>
              <w:pStyle w:val="Compact"/>
              <w:jc w:val="right"/>
            </w:pPr>
            <w:r>
              <w:t xml:space="preserve">1</w:t>
            </w:r>
          </w:p>
        </w:tc>
        <w:tc>
          <w:tcPr/>
          <w:p>
            <w:pPr>
              <w:pStyle w:val="Compact"/>
              <w:jc w:val="right"/>
            </w:pPr>
            <w:r>
              <w:t xml:space="preserve">1</w:t>
            </w:r>
          </w:p>
        </w:tc>
      </w:tr>
      <w:tr>
        <w:tc>
          <w:tcPr/>
          <w:p>
            <w:pPr>
              <w:pStyle w:val="Compact"/>
            </w:pPr>
          </w:p>
        </w:tc>
        <w:tc>
          <w:tcPr/>
          <w:p>
            <w:pPr>
              <w:pStyle w:val="Compact"/>
            </w:pPr>
          </w:p>
        </w:tc>
        <w:tc>
          <w:tcPr/>
          <w:p>
            <w:pPr>
              <w:pStyle w:val="Compact"/>
              <w:jc w:val="left"/>
            </w:pPr>
            <w:r>
              <w:t xml:space="preserve">Underrepresented and/or marginalized identities are a part of the Research Team</w:t>
            </w:r>
          </w:p>
        </w:tc>
        <w:tc>
          <w:tcPr/>
          <w:p>
            <w:pPr>
              <w:pStyle w:val="Compact"/>
              <w:jc w:val="right"/>
            </w:pPr>
            <w:r>
              <w:t xml:space="preserve">0.8</w:t>
            </w:r>
          </w:p>
        </w:tc>
        <w:tc>
          <w:tcPr/>
          <w:p>
            <w:pPr>
              <w:pStyle w:val="Compact"/>
              <w:jc w:val="right"/>
            </w:pPr>
            <w:r>
              <w:t xml:space="preserve">0.95</w:t>
            </w:r>
          </w:p>
        </w:tc>
      </w:tr>
      <w:tr>
        <w:tc>
          <w:tcPr/>
          <w:p>
            <w:pPr>
              <w:pStyle w:val="Compact"/>
            </w:pPr>
          </w:p>
        </w:tc>
        <w:tc>
          <w:tcPr/>
          <w:p>
            <w:pPr>
              <w:pStyle w:val="Compact"/>
            </w:pPr>
          </w:p>
        </w:tc>
        <w:tc>
          <w:tcPr/>
          <w:p>
            <w:pPr>
              <w:pStyle w:val="Compact"/>
              <w:jc w:val="left"/>
            </w:pPr>
            <w:r>
              <w:t xml:space="preserve">The Research Team is diverse in multiple ways and represents a range of identities</w:t>
            </w:r>
          </w:p>
        </w:tc>
        <w:tc>
          <w:tcPr/>
          <w:p>
            <w:pPr>
              <w:pStyle w:val="Compact"/>
              <w:jc w:val="right"/>
            </w:pPr>
            <w:r>
              <w:t xml:space="preserve">0.6</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The Community is diverse in multiple ways and represents a range of identities</w:t>
            </w:r>
          </w:p>
        </w:tc>
        <w:tc>
          <w:tcPr/>
          <w:p>
            <w:pPr>
              <w:pStyle w:val="Compact"/>
              <w:jc w:val="right"/>
            </w:pPr>
            <w:r>
              <w:t xml:space="preserve">0.4</w:t>
            </w:r>
          </w:p>
        </w:tc>
        <w:tc>
          <w:tcPr/>
          <w:p>
            <w:pPr>
              <w:pStyle w:val="Compact"/>
              <w:jc w:val="right"/>
            </w:pPr>
            <w:r>
              <w:t xml:space="preserve">0.84</w:t>
            </w:r>
          </w:p>
        </w:tc>
      </w:tr>
      <w:tr>
        <w:tc>
          <w:tcPr/>
          <w:p>
            <w:pPr>
              <w:pStyle w:val="Compact"/>
            </w:pPr>
          </w:p>
        </w:tc>
        <w:tc>
          <w:tcPr/>
          <w:p>
            <w:pPr>
              <w:pStyle w:val="Compact"/>
            </w:pPr>
          </w:p>
        </w:tc>
        <w:tc>
          <w:tcPr/>
          <w:p>
            <w:pPr>
              <w:pStyle w:val="Compact"/>
              <w:jc w:val="left"/>
            </w:pPr>
            <w:r>
              <w:t xml:space="preserve">Underrepresented and/or marginalized identities are a part of the Community</w:t>
            </w:r>
          </w:p>
        </w:tc>
        <w:tc>
          <w:tcPr/>
          <w:p>
            <w:pPr>
              <w:pStyle w:val="Compact"/>
              <w:jc w:val="right"/>
            </w:pPr>
            <w:r>
              <w:t xml:space="preserve">0.2</w:t>
            </w:r>
          </w:p>
        </w:tc>
        <w:tc>
          <w:tcPr/>
          <w:p>
            <w:pPr>
              <w:pStyle w:val="Compact"/>
              <w:jc w:val="right"/>
            </w:pPr>
            <w:r>
              <w:t xml:space="preserve">0.78</w:t>
            </w:r>
          </w:p>
        </w:tc>
      </w:tr>
      <w:tr>
        <w:tc>
          <w:tcPr/>
          <w:p>
            <w:pPr>
              <w:pStyle w:val="Compact"/>
            </w:pPr>
          </w:p>
        </w:tc>
        <w:tc>
          <w:tcPr/>
          <w:p>
            <w:pPr>
              <w:pStyle w:val="Compact"/>
              <w:jc w:val="left"/>
            </w:pPr>
            <w:r>
              <w:rPr>
                <w:bCs/>
                <w:b/>
              </w:rPr>
              <w:t xml:space="preserve">Resources</w:t>
            </w:r>
          </w:p>
        </w:tc>
        <w:tc>
          <w:tcPr/>
          <w:p>
            <w:pPr>
              <w:pStyle w:val="Compact"/>
              <w:jc w:val="left"/>
            </w:pPr>
            <w:r>
              <w:t xml:space="preserve">There were ongoing negotiations between the Research Team and the Community about the commitment of resources</w:t>
            </w:r>
          </w:p>
        </w:tc>
        <w:tc>
          <w:tcPr/>
          <w:p>
            <w:pPr>
              <w:pStyle w:val="Compact"/>
              <w:jc w:val="right"/>
            </w:pPr>
            <w:r>
              <w:t xml:space="preserve">1</w:t>
            </w:r>
          </w:p>
        </w:tc>
        <w:tc>
          <w:tcPr/>
          <w:p>
            <w:pPr>
              <w:pStyle w:val="Compact"/>
              <w:jc w:val="right"/>
            </w:pPr>
            <w:r>
              <w:t xml:space="preserve">1</w:t>
            </w:r>
          </w:p>
        </w:tc>
      </w:tr>
      <w:tr>
        <w:tc>
          <w:tcPr/>
          <w:p>
            <w:pPr>
              <w:pStyle w:val="Compact"/>
            </w:pPr>
          </w:p>
        </w:tc>
        <w:tc>
          <w:tcPr/>
          <w:p>
            <w:pPr>
              <w:pStyle w:val="Compact"/>
            </w:pPr>
          </w:p>
        </w:tc>
        <w:tc>
          <w:tcPr/>
          <w:p>
            <w:pPr>
              <w:pStyle w:val="Compact"/>
              <w:jc w:val="left"/>
            </w:pPr>
            <w:r>
              <w:t xml:space="preserve">The Research Team contributed resources</w:t>
            </w:r>
          </w:p>
        </w:tc>
        <w:tc>
          <w:tcPr/>
          <w:p>
            <w:pPr>
              <w:pStyle w:val="Compact"/>
              <w:jc w:val="right"/>
            </w:pPr>
            <w:r>
              <w:t xml:space="preserve">0.8</w:t>
            </w:r>
          </w:p>
        </w:tc>
        <w:tc>
          <w:tcPr/>
          <w:p>
            <w:pPr>
              <w:pStyle w:val="Compact"/>
              <w:jc w:val="right"/>
            </w:pPr>
            <w:r>
              <w:t xml:space="preserve">0.95</w:t>
            </w:r>
          </w:p>
        </w:tc>
      </w:tr>
      <w:tr>
        <w:tc>
          <w:tcPr/>
          <w:p>
            <w:pPr>
              <w:pStyle w:val="Compact"/>
            </w:pPr>
          </w:p>
        </w:tc>
        <w:tc>
          <w:tcPr/>
          <w:p>
            <w:pPr>
              <w:pStyle w:val="Compact"/>
            </w:pPr>
          </w:p>
        </w:tc>
        <w:tc>
          <w:tcPr/>
          <w:p>
            <w:pPr>
              <w:pStyle w:val="Compact"/>
              <w:jc w:val="left"/>
            </w:pPr>
            <w:r>
              <w:t xml:space="preserve">The Community contributed resources</w:t>
            </w:r>
          </w:p>
        </w:tc>
        <w:tc>
          <w:tcPr/>
          <w:p>
            <w:pPr>
              <w:pStyle w:val="Compact"/>
              <w:jc w:val="right"/>
            </w:pPr>
            <w:r>
              <w:t xml:space="preserve">0.6</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All resources were provided by the Research Team</w:t>
            </w:r>
          </w:p>
        </w:tc>
        <w:tc>
          <w:tcPr/>
          <w:p>
            <w:pPr>
              <w:pStyle w:val="Compact"/>
              <w:jc w:val="right"/>
            </w:pPr>
            <w:r>
              <w:t xml:space="preserve">0.4</w:t>
            </w:r>
          </w:p>
        </w:tc>
        <w:tc>
          <w:tcPr/>
          <w:p>
            <w:pPr>
              <w:pStyle w:val="Compact"/>
              <w:jc w:val="right"/>
            </w:pPr>
            <w:r>
              <w:t xml:space="preserve">0.84</w:t>
            </w:r>
          </w:p>
        </w:tc>
      </w:tr>
      <w:tr>
        <w:tc>
          <w:tcPr/>
          <w:p>
            <w:pPr>
              <w:pStyle w:val="Compact"/>
            </w:pPr>
          </w:p>
        </w:tc>
        <w:tc>
          <w:tcPr/>
          <w:p>
            <w:pPr>
              <w:pStyle w:val="Compact"/>
            </w:pPr>
          </w:p>
        </w:tc>
        <w:tc>
          <w:tcPr/>
          <w:p>
            <w:pPr>
              <w:pStyle w:val="Compact"/>
              <w:jc w:val="left"/>
            </w:pPr>
            <w:r>
              <w:t xml:space="preserve">All resources were provided by the Community</w:t>
            </w:r>
          </w:p>
        </w:tc>
        <w:tc>
          <w:tcPr/>
          <w:p>
            <w:pPr>
              <w:pStyle w:val="Compact"/>
              <w:jc w:val="right"/>
            </w:pPr>
            <w:r>
              <w:t xml:space="preserve">0.2</w:t>
            </w:r>
          </w:p>
        </w:tc>
        <w:tc>
          <w:tcPr/>
          <w:p>
            <w:pPr>
              <w:pStyle w:val="Compact"/>
              <w:jc w:val="right"/>
            </w:pPr>
            <w:r>
              <w:t xml:space="preserve">0.78</w:t>
            </w:r>
          </w:p>
        </w:tc>
      </w:tr>
      <w:tr>
        <w:tc>
          <w:tcPr/>
          <w:p>
            <w:pPr>
              <w:pStyle w:val="Compact"/>
            </w:pPr>
          </w:p>
        </w:tc>
        <w:tc>
          <w:tcPr/>
          <w:p>
            <w:pPr>
              <w:pStyle w:val="Compact"/>
              <w:jc w:val="left"/>
            </w:pPr>
            <w:r>
              <w:rPr>
                <w:bCs/>
                <w:b/>
              </w:rPr>
              <w:t xml:space="preserve">Trust</w:t>
            </w:r>
          </w:p>
        </w:tc>
        <w:tc>
          <w:tcPr/>
          <w:p>
            <w:pPr>
              <w:pStyle w:val="Compact"/>
              <w:jc w:val="left"/>
            </w:pPr>
            <w:r>
              <w:t xml:space="preserve">Building on a history of trust and collaboration, the Community reached out to the Research Team</w:t>
            </w:r>
          </w:p>
        </w:tc>
        <w:tc>
          <w:tcPr/>
          <w:p>
            <w:pPr>
              <w:pStyle w:val="Compact"/>
              <w:jc w:val="right"/>
            </w:pPr>
            <w:r>
              <w:t xml:space="preserve">1</w:t>
            </w:r>
          </w:p>
        </w:tc>
        <w:tc>
          <w:tcPr/>
          <w:p>
            <w:pPr>
              <w:pStyle w:val="Compact"/>
              <w:jc w:val="right"/>
            </w:pPr>
            <w:r>
              <w:t xml:space="preserve">1</w:t>
            </w:r>
          </w:p>
        </w:tc>
      </w:tr>
      <w:tr>
        <w:tc>
          <w:tcPr/>
          <w:p>
            <w:pPr>
              <w:pStyle w:val="Compact"/>
            </w:pPr>
          </w:p>
        </w:tc>
        <w:tc>
          <w:tcPr/>
          <w:p>
            <w:pPr>
              <w:pStyle w:val="Compact"/>
            </w:pPr>
          </w:p>
        </w:tc>
        <w:tc>
          <w:tcPr/>
          <w:p>
            <w:pPr>
              <w:pStyle w:val="Compact"/>
              <w:jc w:val="left"/>
            </w:pPr>
            <w:r>
              <w:t xml:space="preserve">Building on a history of trust and collaboration, the Research Team reached out to the Community</w:t>
            </w:r>
          </w:p>
        </w:tc>
        <w:tc>
          <w:tcPr/>
          <w:p>
            <w:pPr>
              <w:pStyle w:val="Compact"/>
              <w:jc w:val="right"/>
            </w:pPr>
            <w:r>
              <w:t xml:space="preserve">0.8</w:t>
            </w:r>
          </w:p>
        </w:tc>
        <w:tc>
          <w:tcPr/>
          <w:p>
            <w:pPr>
              <w:pStyle w:val="Compact"/>
              <w:jc w:val="right"/>
            </w:pPr>
            <w:r>
              <w:t xml:space="preserve">0.95</w:t>
            </w:r>
          </w:p>
        </w:tc>
      </w:tr>
      <w:tr>
        <w:tc>
          <w:tcPr/>
          <w:p>
            <w:pPr>
              <w:pStyle w:val="Compact"/>
            </w:pPr>
          </w:p>
        </w:tc>
        <w:tc>
          <w:tcPr/>
          <w:p>
            <w:pPr>
              <w:pStyle w:val="Compact"/>
            </w:pPr>
          </w:p>
        </w:tc>
        <w:tc>
          <w:tcPr/>
          <w:p>
            <w:pPr>
              <w:pStyle w:val="Compact"/>
              <w:jc w:val="left"/>
            </w:pPr>
            <w:r>
              <w:t xml:space="preserve">There were ongoing trust-building efforts between the Research Institution and the Community</w:t>
            </w:r>
          </w:p>
        </w:tc>
        <w:tc>
          <w:tcPr/>
          <w:p>
            <w:pPr>
              <w:pStyle w:val="Compact"/>
              <w:jc w:val="right"/>
            </w:pPr>
            <w:r>
              <w:t xml:space="preserve">0.6</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Despite a history of mistrust, the Community reached out to the Research Team</w:t>
            </w:r>
          </w:p>
        </w:tc>
        <w:tc>
          <w:tcPr/>
          <w:p>
            <w:pPr>
              <w:pStyle w:val="Compact"/>
              <w:jc w:val="right"/>
            </w:pPr>
            <w:r>
              <w:t xml:space="preserve">0.4</w:t>
            </w:r>
          </w:p>
        </w:tc>
        <w:tc>
          <w:tcPr/>
          <w:p>
            <w:pPr>
              <w:pStyle w:val="Compact"/>
              <w:jc w:val="right"/>
            </w:pPr>
            <w:r>
              <w:t xml:space="preserve">0.84</w:t>
            </w:r>
          </w:p>
        </w:tc>
      </w:tr>
      <w:tr>
        <w:tc>
          <w:tcPr/>
          <w:p>
            <w:pPr>
              <w:pStyle w:val="Compact"/>
            </w:pPr>
          </w:p>
        </w:tc>
        <w:tc>
          <w:tcPr/>
          <w:p>
            <w:pPr>
              <w:pStyle w:val="Compact"/>
            </w:pPr>
          </w:p>
        </w:tc>
        <w:tc>
          <w:tcPr/>
          <w:p>
            <w:pPr>
              <w:pStyle w:val="Compact"/>
              <w:jc w:val="left"/>
            </w:pPr>
            <w:r>
              <w:t xml:space="preserve">Despite a history of mistrust, the Research Team reached out to the Community</w:t>
            </w:r>
          </w:p>
        </w:tc>
        <w:tc>
          <w:tcPr/>
          <w:p>
            <w:pPr>
              <w:pStyle w:val="Compact"/>
              <w:jc w:val="right"/>
            </w:pPr>
            <w:r>
              <w:t xml:space="preserve">0.2</w:t>
            </w:r>
          </w:p>
        </w:tc>
        <w:tc>
          <w:tcPr/>
          <w:p>
            <w:pPr>
              <w:pStyle w:val="Compact"/>
              <w:jc w:val="right"/>
            </w:pPr>
            <w:r>
              <w:t xml:space="preserve">0.78</w:t>
            </w:r>
          </w:p>
        </w:tc>
      </w:tr>
      <w:tr>
        <w:tc>
          <w:tcPr/>
          <w:p>
            <w:pPr>
              <w:pStyle w:val="Compact"/>
              <w:jc w:val="left"/>
            </w:pPr>
            <w:r>
              <w:rPr>
                <w:iCs/>
                <w:i/>
                <w:bCs/>
                <w:b/>
              </w:rPr>
              <w:t xml:space="preserve">Partnership Processes</w:t>
            </w:r>
          </w:p>
        </w:tc>
        <w:tc>
          <w:tcPr/>
          <w:p>
            <w:pPr>
              <w:pStyle w:val="Compact"/>
              <w:jc w:val="left"/>
            </w:pPr>
            <w:r>
              <w:rPr>
                <w:bCs/>
                <w:b/>
              </w:rPr>
              <w:t xml:space="preserve">Beneficence</w:t>
            </w:r>
          </w:p>
        </w:tc>
        <w:tc>
          <w:tcPr/>
          <w:p>
            <w:pPr>
              <w:pStyle w:val="Compact"/>
              <w:jc w:val="left"/>
            </w:pPr>
            <w:r>
              <w:t xml:space="preserve">There were ongoing discussions to ensure both the Community and the Research Team would benefit</w:t>
            </w:r>
          </w:p>
        </w:tc>
        <w:tc>
          <w:tcPr/>
          <w:p>
            <w:pPr>
              <w:pStyle w:val="Compact"/>
              <w:jc w:val="right"/>
            </w:pPr>
            <w:r>
              <w:t xml:space="preserve">1</w:t>
            </w:r>
          </w:p>
        </w:tc>
        <w:tc>
          <w:tcPr/>
          <w:p>
            <w:pPr>
              <w:pStyle w:val="Compact"/>
              <w:jc w:val="right"/>
            </w:pPr>
            <w:r>
              <w:t xml:space="preserve">1</w:t>
            </w:r>
          </w:p>
        </w:tc>
      </w:tr>
      <w:tr>
        <w:tc>
          <w:tcPr/>
          <w:p>
            <w:pPr>
              <w:pStyle w:val="Compact"/>
            </w:pPr>
          </w:p>
        </w:tc>
        <w:tc>
          <w:tcPr/>
          <w:p>
            <w:pPr>
              <w:pStyle w:val="Compact"/>
            </w:pPr>
          </w:p>
        </w:tc>
        <w:tc>
          <w:tcPr/>
          <w:p>
            <w:pPr>
              <w:pStyle w:val="Compact"/>
              <w:jc w:val="left"/>
            </w:pPr>
            <w:r>
              <w:t xml:space="preserve">Benefits built upon and strengthened the Community’s cultural capital and wealth and agency</w:t>
            </w:r>
          </w:p>
        </w:tc>
        <w:tc>
          <w:tcPr/>
          <w:p>
            <w:pPr>
              <w:pStyle w:val="Compact"/>
              <w:jc w:val="right"/>
            </w:pPr>
            <w:r>
              <w:t xml:space="preserve">0.8</w:t>
            </w:r>
          </w:p>
        </w:tc>
        <w:tc>
          <w:tcPr/>
          <w:p>
            <w:pPr>
              <w:pStyle w:val="Compact"/>
              <w:jc w:val="right"/>
            </w:pPr>
            <w:r>
              <w:t xml:space="preserve">0.95</w:t>
            </w:r>
          </w:p>
        </w:tc>
      </w:tr>
      <w:tr>
        <w:tc>
          <w:tcPr/>
          <w:p>
            <w:pPr>
              <w:pStyle w:val="Compact"/>
            </w:pPr>
          </w:p>
        </w:tc>
        <w:tc>
          <w:tcPr/>
          <w:p>
            <w:pPr>
              <w:pStyle w:val="Compact"/>
            </w:pPr>
          </w:p>
        </w:tc>
        <w:tc>
          <w:tcPr/>
          <w:p>
            <w:pPr>
              <w:pStyle w:val="Compact"/>
              <w:jc w:val="left"/>
            </w:pPr>
            <w:r>
              <w:t xml:space="preserve">Benefits aligned with the goals and purposes of the project</w:t>
            </w:r>
          </w:p>
        </w:tc>
        <w:tc>
          <w:tcPr/>
          <w:p>
            <w:pPr>
              <w:pStyle w:val="Compact"/>
              <w:jc w:val="right"/>
            </w:pPr>
            <w:r>
              <w:t xml:space="preserve">0.6</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The Community Partners benefitted from the processes</w:t>
            </w:r>
          </w:p>
        </w:tc>
        <w:tc>
          <w:tcPr/>
          <w:p>
            <w:pPr>
              <w:pStyle w:val="Compact"/>
              <w:jc w:val="right"/>
            </w:pPr>
            <w:r>
              <w:t xml:space="preserve">0.4</w:t>
            </w:r>
          </w:p>
        </w:tc>
        <w:tc>
          <w:tcPr/>
          <w:p>
            <w:pPr>
              <w:pStyle w:val="Compact"/>
              <w:jc w:val="right"/>
            </w:pPr>
            <w:r>
              <w:t xml:space="preserve">0.84</w:t>
            </w:r>
          </w:p>
        </w:tc>
      </w:tr>
      <w:tr>
        <w:tc>
          <w:tcPr/>
          <w:p>
            <w:pPr>
              <w:pStyle w:val="Compact"/>
            </w:pPr>
          </w:p>
        </w:tc>
        <w:tc>
          <w:tcPr/>
          <w:p>
            <w:pPr>
              <w:pStyle w:val="Compact"/>
            </w:pPr>
          </w:p>
        </w:tc>
        <w:tc>
          <w:tcPr/>
          <w:p>
            <w:pPr>
              <w:pStyle w:val="Compact"/>
              <w:jc w:val="left"/>
            </w:pPr>
            <w:r>
              <w:t xml:space="preserve">The Research Team benefitted from the processes</w:t>
            </w:r>
          </w:p>
        </w:tc>
        <w:tc>
          <w:tcPr/>
          <w:p>
            <w:pPr>
              <w:pStyle w:val="Compact"/>
              <w:jc w:val="right"/>
            </w:pPr>
            <w:r>
              <w:t xml:space="preserve">0.2</w:t>
            </w:r>
          </w:p>
        </w:tc>
        <w:tc>
          <w:tcPr/>
          <w:p>
            <w:pPr>
              <w:pStyle w:val="Compact"/>
              <w:jc w:val="right"/>
            </w:pPr>
            <w:r>
              <w:t xml:space="preserve">0.78</w:t>
            </w:r>
          </w:p>
        </w:tc>
      </w:tr>
      <w:tr>
        <w:tc>
          <w:tcPr/>
          <w:p>
            <w:pPr>
              <w:pStyle w:val="Compact"/>
            </w:pPr>
          </w:p>
        </w:tc>
        <w:tc>
          <w:tcPr/>
          <w:p>
            <w:pPr>
              <w:pStyle w:val="Compact"/>
              <w:jc w:val="left"/>
            </w:pPr>
            <w:r>
              <w:rPr>
                <w:bCs/>
                <w:b/>
              </w:rPr>
              <w:t xml:space="preserve">Decision Making</w:t>
            </w:r>
          </w:p>
        </w:tc>
        <w:tc>
          <w:tcPr/>
          <w:p>
            <w:pPr>
              <w:pStyle w:val="Compact"/>
              <w:jc w:val="left"/>
            </w:pPr>
            <w:r>
              <w:t xml:space="preserve">Decision making was conducted through clear and understood processes</w:t>
            </w:r>
          </w:p>
        </w:tc>
        <w:tc>
          <w:tcPr/>
          <w:p>
            <w:pPr>
              <w:pStyle w:val="Compact"/>
              <w:jc w:val="right"/>
            </w:pPr>
            <w:r>
              <w:t xml:space="preserve">1</w:t>
            </w:r>
          </w:p>
        </w:tc>
        <w:tc>
          <w:tcPr/>
          <w:p>
            <w:pPr>
              <w:pStyle w:val="Compact"/>
              <w:jc w:val="right"/>
            </w:pPr>
            <w:r>
              <w:t xml:space="preserve">1</w:t>
            </w:r>
          </w:p>
        </w:tc>
      </w:tr>
      <w:tr>
        <w:tc>
          <w:tcPr/>
          <w:p>
            <w:pPr>
              <w:pStyle w:val="Compact"/>
            </w:pPr>
          </w:p>
        </w:tc>
        <w:tc>
          <w:tcPr/>
          <w:p>
            <w:pPr>
              <w:pStyle w:val="Compact"/>
            </w:pPr>
          </w:p>
        </w:tc>
        <w:tc>
          <w:tcPr/>
          <w:p>
            <w:pPr>
              <w:pStyle w:val="Compact"/>
              <w:jc w:val="left"/>
            </w:pPr>
            <w:r>
              <w:t xml:space="preserve">Decision making processes recognized and supported the community’s cultural capital and agency</w:t>
            </w:r>
          </w:p>
        </w:tc>
        <w:tc>
          <w:tcPr/>
          <w:p>
            <w:pPr>
              <w:pStyle w:val="Compact"/>
              <w:jc w:val="right"/>
            </w:pPr>
            <w:r>
              <w:t xml:space="preserve">0.8</w:t>
            </w:r>
          </w:p>
        </w:tc>
        <w:tc>
          <w:tcPr/>
          <w:p>
            <w:pPr>
              <w:pStyle w:val="Compact"/>
              <w:jc w:val="right"/>
            </w:pPr>
            <w:r>
              <w:t xml:space="preserve">0.95</w:t>
            </w:r>
          </w:p>
        </w:tc>
      </w:tr>
      <w:tr>
        <w:tc>
          <w:tcPr/>
          <w:p>
            <w:pPr>
              <w:pStyle w:val="Compact"/>
            </w:pPr>
          </w:p>
        </w:tc>
        <w:tc>
          <w:tcPr/>
          <w:p>
            <w:pPr>
              <w:pStyle w:val="Compact"/>
            </w:pPr>
          </w:p>
        </w:tc>
        <w:tc>
          <w:tcPr/>
          <w:p>
            <w:pPr>
              <w:pStyle w:val="Compact"/>
              <w:jc w:val="left"/>
            </w:pPr>
            <w:r>
              <w:t xml:space="preserve">Community Partners contributed to the decision making processes</w:t>
            </w:r>
          </w:p>
        </w:tc>
        <w:tc>
          <w:tcPr/>
          <w:p>
            <w:pPr>
              <w:pStyle w:val="Compact"/>
              <w:jc w:val="right"/>
            </w:pPr>
            <w:r>
              <w:t xml:space="preserve">0.6</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The Research Team contributed to the decision making processes</w:t>
            </w:r>
          </w:p>
        </w:tc>
        <w:tc>
          <w:tcPr/>
          <w:p>
            <w:pPr>
              <w:pStyle w:val="Compact"/>
              <w:jc w:val="right"/>
            </w:pPr>
            <w:r>
              <w:t xml:space="preserve">0.4</w:t>
            </w:r>
          </w:p>
        </w:tc>
        <w:tc>
          <w:tcPr/>
          <w:p>
            <w:pPr>
              <w:pStyle w:val="Compact"/>
              <w:jc w:val="right"/>
            </w:pPr>
            <w:r>
              <w:t xml:space="preserve">0.84</w:t>
            </w:r>
          </w:p>
        </w:tc>
      </w:tr>
      <w:tr>
        <w:tc>
          <w:tcPr/>
          <w:p>
            <w:pPr>
              <w:pStyle w:val="Compact"/>
            </w:pPr>
          </w:p>
        </w:tc>
        <w:tc>
          <w:tcPr/>
          <w:p>
            <w:pPr>
              <w:pStyle w:val="Compact"/>
            </w:pPr>
          </w:p>
        </w:tc>
        <w:tc>
          <w:tcPr/>
          <w:p>
            <w:pPr>
              <w:pStyle w:val="Compact"/>
              <w:jc w:val="left"/>
            </w:pPr>
            <w:r>
              <w:t xml:space="preserve">Decisions were made to align the ongoing work with the goals and purposes of the project</w:t>
            </w:r>
          </w:p>
        </w:tc>
        <w:tc>
          <w:tcPr/>
          <w:p>
            <w:pPr>
              <w:pStyle w:val="Compact"/>
              <w:jc w:val="right"/>
            </w:pPr>
            <w:r>
              <w:t xml:space="preserve">0.2</w:t>
            </w:r>
          </w:p>
        </w:tc>
        <w:tc>
          <w:tcPr/>
          <w:p>
            <w:pPr>
              <w:pStyle w:val="Compact"/>
              <w:jc w:val="right"/>
            </w:pPr>
            <w:r>
              <w:t xml:space="preserve">0.78</w:t>
            </w:r>
          </w:p>
        </w:tc>
      </w:tr>
      <w:tr>
        <w:tc>
          <w:tcPr/>
          <w:p>
            <w:pPr>
              <w:pStyle w:val="Compact"/>
            </w:pPr>
          </w:p>
        </w:tc>
        <w:tc>
          <w:tcPr/>
          <w:p>
            <w:pPr>
              <w:pStyle w:val="Compact"/>
              <w:jc w:val="left"/>
            </w:pPr>
            <w:r>
              <w:rPr>
                <w:bCs/>
                <w:b/>
              </w:rPr>
              <w:t xml:space="preserve">Reflection</w:t>
            </w:r>
          </w:p>
        </w:tc>
        <w:tc>
          <w:tcPr/>
          <w:p>
            <w:pPr>
              <w:pStyle w:val="Compact"/>
              <w:jc w:val="left"/>
            </w:pPr>
            <w:r>
              <w:t xml:space="preserve">The Research Team and Community partners engaged in and benefitted from intentional collaborative reflection activities</w:t>
            </w:r>
          </w:p>
        </w:tc>
        <w:tc>
          <w:tcPr/>
          <w:p>
            <w:pPr>
              <w:pStyle w:val="Compact"/>
              <w:jc w:val="right"/>
            </w:pPr>
            <w:r>
              <w:t xml:space="preserve">1</w:t>
            </w:r>
          </w:p>
        </w:tc>
        <w:tc>
          <w:tcPr/>
          <w:p>
            <w:pPr>
              <w:pStyle w:val="Compact"/>
              <w:jc w:val="right"/>
            </w:pPr>
            <w:r>
              <w:t xml:space="preserve">1</w:t>
            </w:r>
          </w:p>
        </w:tc>
      </w:tr>
      <w:tr>
        <w:tc>
          <w:tcPr/>
          <w:p>
            <w:pPr>
              <w:pStyle w:val="Compact"/>
            </w:pPr>
          </w:p>
        </w:tc>
        <w:tc>
          <w:tcPr/>
          <w:p>
            <w:pPr>
              <w:pStyle w:val="Compact"/>
            </w:pPr>
          </w:p>
        </w:tc>
        <w:tc>
          <w:tcPr/>
          <w:p>
            <w:pPr>
              <w:pStyle w:val="Compact"/>
              <w:jc w:val="left"/>
            </w:pPr>
            <w:r>
              <w:t xml:space="preserve">Community partners engaged in and benefitted from intentional reflection activities</w:t>
            </w:r>
          </w:p>
        </w:tc>
        <w:tc>
          <w:tcPr/>
          <w:p>
            <w:pPr>
              <w:pStyle w:val="Compact"/>
              <w:jc w:val="right"/>
            </w:pPr>
            <w:r>
              <w:t xml:space="preserve">0.8</w:t>
            </w:r>
          </w:p>
        </w:tc>
        <w:tc>
          <w:tcPr/>
          <w:p>
            <w:pPr>
              <w:pStyle w:val="Compact"/>
              <w:jc w:val="right"/>
            </w:pPr>
            <w:r>
              <w:t xml:space="preserve">0.95</w:t>
            </w:r>
          </w:p>
        </w:tc>
      </w:tr>
      <w:tr>
        <w:tc>
          <w:tcPr/>
          <w:p>
            <w:pPr>
              <w:pStyle w:val="Compact"/>
            </w:pPr>
          </w:p>
        </w:tc>
        <w:tc>
          <w:tcPr/>
          <w:p>
            <w:pPr>
              <w:pStyle w:val="Compact"/>
            </w:pPr>
          </w:p>
        </w:tc>
        <w:tc>
          <w:tcPr/>
          <w:p>
            <w:pPr>
              <w:pStyle w:val="Compact"/>
              <w:jc w:val="left"/>
            </w:pPr>
            <w:r>
              <w:t xml:space="preserve">Strategies and new practices were developed through intentional reflection activities</w:t>
            </w:r>
          </w:p>
        </w:tc>
        <w:tc>
          <w:tcPr/>
          <w:p>
            <w:pPr>
              <w:pStyle w:val="Compact"/>
              <w:jc w:val="right"/>
            </w:pPr>
            <w:r>
              <w:t xml:space="preserve">0.6</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Lessons learned for all participants were identified through intentional reflection activities</w:t>
            </w:r>
          </w:p>
        </w:tc>
        <w:tc>
          <w:tcPr/>
          <w:p>
            <w:pPr>
              <w:pStyle w:val="Compact"/>
              <w:jc w:val="right"/>
            </w:pPr>
            <w:r>
              <w:t xml:space="preserve">0.4</w:t>
            </w:r>
          </w:p>
        </w:tc>
        <w:tc>
          <w:tcPr/>
          <w:p>
            <w:pPr>
              <w:pStyle w:val="Compact"/>
              <w:jc w:val="right"/>
            </w:pPr>
            <w:r>
              <w:t xml:space="preserve">0.84</w:t>
            </w:r>
          </w:p>
        </w:tc>
      </w:tr>
      <w:tr>
        <w:tc>
          <w:tcPr/>
          <w:p>
            <w:pPr>
              <w:pStyle w:val="Compact"/>
            </w:pPr>
          </w:p>
        </w:tc>
        <w:tc>
          <w:tcPr/>
          <w:p>
            <w:pPr>
              <w:pStyle w:val="Compact"/>
            </w:pPr>
          </w:p>
        </w:tc>
        <w:tc>
          <w:tcPr/>
          <w:p>
            <w:pPr>
              <w:pStyle w:val="Compact"/>
              <w:jc w:val="left"/>
            </w:pPr>
            <w:r>
              <w:t xml:space="preserve">The Research Team engaged in and benefitted from intentional reflection activities</w:t>
            </w:r>
          </w:p>
        </w:tc>
        <w:tc>
          <w:tcPr/>
          <w:p>
            <w:pPr>
              <w:pStyle w:val="Compact"/>
              <w:jc w:val="right"/>
            </w:pPr>
            <w:r>
              <w:t xml:space="preserve">0.2</w:t>
            </w:r>
          </w:p>
        </w:tc>
        <w:tc>
          <w:tcPr/>
          <w:p>
            <w:pPr>
              <w:pStyle w:val="Compact"/>
              <w:jc w:val="right"/>
            </w:pPr>
            <w:r>
              <w:t xml:space="preserve">0.78</w:t>
            </w:r>
          </w:p>
        </w:tc>
      </w:tr>
      <w:tr>
        <w:tc>
          <w:tcPr/>
          <w:p>
            <w:pPr>
              <w:pStyle w:val="Compact"/>
            </w:pPr>
          </w:p>
        </w:tc>
        <w:tc>
          <w:tcPr/>
          <w:p>
            <w:pPr>
              <w:pStyle w:val="Compact"/>
              <w:jc w:val="left"/>
            </w:pPr>
            <w:r>
              <w:rPr>
                <w:bCs/>
                <w:b/>
              </w:rPr>
              <w:t xml:space="preserve">Tool Construction</w:t>
            </w:r>
          </w:p>
        </w:tc>
        <w:tc>
          <w:tcPr/>
          <w:p>
            <w:pPr>
              <w:pStyle w:val="Compact"/>
              <w:jc w:val="left"/>
            </w:pPr>
            <w:r>
              <w:t xml:space="preserve">The Community contributed to building the tools</w:t>
            </w:r>
          </w:p>
        </w:tc>
        <w:tc>
          <w:tcPr/>
          <w:p>
            <w:pPr>
              <w:pStyle w:val="Compact"/>
              <w:jc w:val="right"/>
            </w:pPr>
            <w:r>
              <w:t xml:space="preserve">1</w:t>
            </w:r>
          </w:p>
        </w:tc>
        <w:tc>
          <w:tcPr/>
          <w:p>
            <w:pPr>
              <w:pStyle w:val="Compact"/>
              <w:jc w:val="right"/>
            </w:pPr>
            <w:r>
              <w:t xml:space="preserve">1</w:t>
            </w:r>
          </w:p>
        </w:tc>
      </w:tr>
      <w:tr>
        <w:tc>
          <w:tcPr/>
          <w:p>
            <w:pPr>
              <w:pStyle w:val="Compact"/>
            </w:pPr>
          </w:p>
        </w:tc>
        <w:tc>
          <w:tcPr/>
          <w:p>
            <w:pPr>
              <w:pStyle w:val="Compact"/>
            </w:pPr>
          </w:p>
        </w:tc>
        <w:tc>
          <w:tcPr/>
          <w:p>
            <w:pPr>
              <w:pStyle w:val="Compact"/>
              <w:jc w:val="left"/>
            </w:pPr>
            <w:r>
              <w:t xml:space="preserve">Recognized and supported the Community’s cultural wealth and capital and agency</w:t>
            </w:r>
          </w:p>
        </w:tc>
        <w:tc>
          <w:tcPr/>
          <w:p>
            <w:pPr>
              <w:pStyle w:val="Compact"/>
              <w:jc w:val="right"/>
            </w:pPr>
            <w:r>
              <w:t xml:space="preserve">0.8</w:t>
            </w:r>
          </w:p>
        </w:tc>
        <w:tc>
          <w:tcPr/>
          <w:p>
            <w:pPr>
              <w:pStyle w:val="Compact"/>
              <w:jc w:val="right"/>
            </w:pPr>
            <w:r>
              <w:t xml:space="preserve">0.95</w:t>
            </w:r>
          </w:p>
        </w:tc>
      </w:tr>
      <w:tr>
        <w:tc>
          <w:tcPr/>
          <w:p>
            <w:pPr>
              <w:pStyle w:val="Compact"/>
            </w:pPr>
          </w:p>
        </w:tc>
        <w:tc>
          <w:tcPr/>
          <w:p>
            <w:pPr>
              <w:pStyle w:val="Compact"/>
            </w:pPr>
          </w:p>
        </w:tc>
        <w:tc>
          <w:tcPr/>
          <w:p>
            <w:pPr>
              <w:pStyle w:val="Compact"/>
              <w:jc w:val="left"/>
            </w:pPr>
            <w:r>
              <w:t xml:space="preserve">The Research Team contributed to building the tools</w:t>
            </w:r>
          </w:p>
        </w:tc>
        <w:tc>
          <w:tcPr/>
          <w:p>
            <w:pPr>
              <w:pStyle w:val="Compact"/>
              <w:jc w:val="right"/>
            </w:pPr>
            <w:r>
              <w:t xml:space="preserve">0.6</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Made processes more clear and understandable</w:t>
            </w:r>
          </w:p>
        </w:tc>
        <w:tc>
          <w:tcPr/>
          <w:p>
            <w:pPr>
              <w:pStyle w:val="Compact"/>
              <w:jc w:val="right"/>
            </w:pPr>
            <w:r>
              <w:t xml:space="preserve">0.4</w:t>
            </w:r>
          </w:p>
        </w:tc>
        <w:tc>
          <w:tcPr/>
          <w:p>
            <w:pPr>
              <w:pStyle w:val="Compact"/>
              <w:jc w:val="right"/>
            </w:pPr>
            <w:r>
              <w:t xml:space="preserve">0.84</w:t>
            </w:r>
          </w:p>
        </w:tc>
      </w:tr>
      <w:tr>
        <w:tc>
          <w:tcPr/>
          <w:p>
            <w:pPr>
              <w:pStyle w:val="Compact"/>
            </w:pPr>
          </w:p>
        </w:tc>
        <w:tc>
          <w:tcPr/>
          <w:p>
            <w:pPr>
              <w:pStyle w:val="Compact"/>
            </w:pPr>
          </w:p>
        </w:tc>
        <w:tc>
          <w:tcPr/>
          <w:p>
            <w:pPr>
              <w:pStyle w:val="Compact"/>
              <w:jc w:val="left"/>
            </w:pPr>
            <w:r>
              <w:t xml:space="preserve">Promoted Efficiency</w:t>
            </w:r>
          </w:p>
        </w:tc>
        <w:tc>
          <w:tcPr/>
          <w:p>
            <w:pPr>
              <w:pStyle w:val="Compact"/>
              <w:jc w:val="right"/>
            </w:pPr>
            <w:r>
              <w:t xml:space="preserve">0.2</w:t>
            </w:r>
          </w:p>
        </w:tc>
        <w:tc>
          <w:tcPr/>
          <w:p>
            <w:pPr>
              <w:pStyle w:val="Compact"/>
              <w:jc w:val="right"/>
            </w:pPr>
            <w:r>
              <w:t xml:space="preserve">0.78</w:t>
            </w:r>
          </w:p>
        </w:tc>
      </w:tr>
      <w:tr>
        <w:tc>
          <w:tcPr/>
          <w:p>
            <w:pPr>
              <w:pStyle w:val="Compact"/>
              <w:jc w:val="left"/>
            </w:pPr>
            <w:r>
              <w:rPr>
                <w:iCs/>
                <w:i/>
                <w:bCs/>
                <w:b/>
              </w:rPr>
              <w:t xml:space="preserve">Interventions and Research</w:t>
            </w:r>
          </w:p>
        </w:tc>
        <w:tc>
          <w:tcPr/>
          <w:p>
            <w:pPr>
              <w:pStyle w:val="Compact"/>
              <w:jc w:val="left"/>
            </w:pPr>
            <w:r>
              <w:rPr>
                <w:bCs/>
                <w:b/>
              </w:rPr>
              <w:t xml:space="preserve">Design and Facilitation</w:t>
            </w:r>
          </w:p>
        </w:tc>
        <w:tc>
          <w:tcPr/>
          <w:p>
            <w:pPr>
              <w:pStyle w:val="Compact"/>
              <w:jc w:val="left"/>
            </w:pPr>
            <w:r>
              <w:t xml:space="preserve">The Research Team contributed to the design and facilitation of interventions and research</w:t>
            </w:r>
          </w:p>
        </w:tc>
        <w:tc>
          <w:tcPr/>
          <w:p>
            <w:pPr>
              <w:pStyle w:val="Compact"/>
              <w:jc w:val="right"/>
            </w:pPr>
            <w:r>
              <w:t xml:space="preserve">1</w:t>
            </w:r>
          </w:p>
        </w:tc>
        <w:tc>
          <w:tcPr/>
          <w:p>
            <w:pPr>
              <w:pStyle w:val="Compact"/>
              <w:jc w:val="right"/>
            </w:pPr>
            <w:r>
              <w:t xml:space="preserve">1</w:t>
            </w:r>
          </w:p>
        </w:tc>
      </w:tr>
      <w:tr>
        <w:tc>
          <w:tcPr/>
          <w:p>
            <w:pPr>
              <w:pStyle w:val="Compact"/>
            </w:pPr>
          </w:p>
        </w:tc>
        <w:tc>
          <w:tcPr/>
          <w:p>
            <w:pPr>
              <w:pStyle w:val="Compact"/>
            </w:pPr>
          </w:p>
        </w:tc>
        <w:tc>
          <w:tcPr/>
          <w:p>
            <w:pPr>
              <w:pStyle w:val="Compact"/>
              <w:jc w:val="left"/>
            </w:pPr>
            <w:r>
              <w:t xml:space="preserve">The Community contributed to the design and facilitation of interventions and research</w:t>
            </w:r>
          </w:p>
        </w:tc>
        <w:tc>
          <w:tcPr/>
          <w:p>
            <w:pPr>
              <w:pStyle w:val="Compact"/>
              <w:jc w:val="right"/>
            </w:pPr>
            <w:r>
              <w:t xml:space="preserve">0.8</w:t>
            </w:r>
          </w:p>
        </w:tc>
        <w:tc>
          <w:tcPr/>
          <w:p>
            <w:pPr>
              <w:pStyle w:val="Compact"/>
              <w:jc w:val="right"/>
            </w:pPr>
            <w:r>
              <w:t xml:space="preserve">0.95</w:t>
            </w:r>
          </w:p>
        </w:tc>
      </w:tr>
      <w:tr>
        <w:tc>
          <w:tcPr/>
          <w:p>
            <w:pPr>
              <w:pStyle w:val="Compact"/>
            </w:pPr>
          </w:p>
        </w:tc>
        <w:tc>
          <w:tcPr/>
          <w:p>
            <w:pPr>
              <w:pStyle w:val="Compact"/>
            </w:pPr>
          </w:p>
        </w:tc>
        <w:tc>
          <w:tcPr/>
          <w:p>
            <w:pPr>
              <w:pStyle w:val="Compact"/>
              <w:jc w:val="left"/>
            </w:pPr>
            <w:r>
              <w:t xml:space="preserve">The design and facilitation of interventions and research recognized and supported the Community’s cultural wealth and capital and agency</w:t>
            </w:r>
          </w:p>
        </w:tc>
        <w:tc>
          <w:tcPr/>
          <w:p>
            <w:pPr>
              <w:pStyle w:val="Compact"/>
              <w:jc w:val="right"/>
            </w:pPr>
            <w:r>
              <w:t xml:space="preserve">0.6</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The design and facilitation of interventions and research provided opportunities to generate new understandings for the discipline(s) and to benefit the Community</w:t>
            </w:r>
          </w:p>
        </w:tc>
        <w:tc>
          <w:tcPr/>
          <w:p>
            <w:pPr>
              <w:pStyle w:val="Compact"/>
              <w:jc w:val="right"/>
            </w:pPr>
            <w:r>
              <w:t xml:space="preserve">0.4</w:t>
            </w:r>
          </w:p>
        </w:tc>
        <w:tc>
          <w:tcPr/>
          <w:p>
            <w:pPr>
              <w:pStyle w:val="Compact"/>
              <w:jc w:val="right"/>
            </w:pPr>
            <w:r>
              <w:t xml:space="preserve">0.84</w:t>
            </w:r>
          </w:p>
        </w:tc>
      </w:tr>
      <w:tr>
        <w:tc>
          <w:tcPr/>
          <w:p>
            <w:pPr>
              <w:pStyle w:val="Compact"/>
            </w:pPr>
          </w:p>
        </w:tc>
        <w:tc>
          <w:tcPr/>
          <w:p>
            <w:pPr>
              <w:pStyle w:val="Compact"/>
            </w:pPr>
          </w:p>
        </w:tc>
        <w:tc>
          <w:tcPr/>
          <w:p>
            <w:pPr>
              <w:pStyle w:val="Compact"/>
              <w:jc w:val="left"/>
            </w:pPr>
            <w:r>
              <w:t xml:space="preserve">The design and facilitation of interventions and research aligned with the goals and purposes of the project</w:t>
            </w:r>
          </w:p>
        </w:tc>
        <w:tc>
          <w:tcPr/>
          <w:p>
            <w:pPr>
              <w:pStyle w:val="Compact"/>
              <w:jc w:val="right"/>
            </w:pPr>
            <w:r>
              <w:t xml:space="preserve">0.2</w:t>
            </w:r>
          </w:p>
        </w:tc>
        <w:tc>
          <w:tcPr/>
          <w:p>
            <w:pPr>
              <w:pStyle w:val="Compact"/>
              <w:jc w:val="right"/>
            </w:pPr>
            <w:r>
              <w:t xml:space="preserve">0.78</w:t>
            </w:r>
          </w:p>
        </w:tc>
      </w:tr>
      <w:tr>
        <w:tc>
          <w:tcPr/>
          <w:p>
            <w:pPr>
              <w:pStyle w:val="Compact"/>
            </w:pPr>
          </w:p>
        </w:tc>
        <w:tc>
          <w:tcPr/>
          <w:p>
            <w:pPr>
              <w:pStyle w:val="Compact"/>
              <w:jc w:val="left"/>
            </w:pPr>
            <w:r>
              <w:rPr>
                <w:bCs/>
                <w:b/>
              </w:rPr>
              <w:t xml:space="preserve">Duration</w:t>
            </w:r>
          </w:p>
        </w:tc>
        <w:tc>
          <w:tcPr/>
          <w:p>
            <w:pPr>
              <w:pStyle w:val="Compact"/>
              <w:jc w:val="left"/>
            </w:pPr>
            <w:r>
              <w:t xml:space="preserve">Multiple Years</w:t>
            </w:r>
          </w:p>
        </w:tc>
        <w:tc>
          <w:tcPr/>
          <w:p>
            <w:pPr>
              <w:pStyle w:val="Compact"/>
              <w:jc w:val="right"/>
            </w:pPr>
            <w:r>
              <w:t xml:space="preserve">1</w:t>
            </w:r>
          </w:p>
        </w:tc>
        <w:tc>
          <w:tcPr/>
          <w:p>
            <w:pPr>
              <w:pStyle w:val="Compact"/>
              <w:jc w:val="right"/>
            </w:pPr>
            <w:r>
              <w:t xml:space="preserve">1</w:t>
            </w:r>
          </w:p>
        </w:tc>
      </w:tr>
      <w:tr>
        <w:tc>
          <w:tcPr/>
          <w:p>
            <w:pPr>
              <w:pStyle w:val="Compact"/>
            </w:pPr>
          </w:p>
        </w:tc>
        <w:tc>
          <w:tcPr/>
          <w:p>
            <w:pPr>
              <w:pStyle w:val="Compact"/>
            </w:pPr>
          </w:p>
        </w:tc>
        <w:tc>
          <w:tcPr/>
          <w:p>
            <w:pPr>
              <w:pStyle w:val="Compact"/>
              <w:jc w:val="left"/>
            </w:pPr>
            <w:r>
              <w:t xml:space="preserve">A Year or Less</w:t>
            </w:r>
          </w:p>
        </w:tc>
        <w:tc>
          <w:tcPr/>
          <w:p>
            <w:pPr>
              <w:pStyle w:val="Compact"/>
              <w:jc w:val="right"/>
            </w:pPr>
            <w:r>
              <w:t xml:space="preserve">0.8</w:t>
            </w:r>
          </w:p>
        </w:tc>
        <w:tc>
          <w:tcPr/>
          <w:p>
            <w:pPr>
              <w:pStyle w:val="Compact"/>
              <w:jc w:val="right"/>
            </w:pPr>
            <w:r>
              <w:t xml:space="preserve">0.95</w:t>
            </w:r>
          </w:p>
        </w:tc>
      </w:tr>
      <w:tr>
        <w:tc>
          <w:tcPr/>
          <w:p>
            <w:pPr>
              <w:pStyle w:val="Compact"/>
            </w:pPr>
          </w:p>
        </w:tc>
        <w:tc>
          <w:tcPr/>
          <w:p>
            <w:pPr>
              <w:pStyle w:val="Compact"/>
            </w:pPr>
          </w:p>
        </w:tc>
        <w:tc>
          <w:tcPr/>
          <w:p>
            <w:pPr>
              <w:pStyle w:val="Compact"/>
              <w:jc w:val="left"/>
            </w:pPr>
            <w:r>
              <w:t xml:space="preserve">A Semester or Less</w:t>
            </w:r>
          </w:p>
        </w:tc>
        <w:tc>
          <w:tcPr/>
          <w:p>
            <w:pPr>
              <w:pStyle w:val="Compact"/>
              <w:jc w:val="right"/>
            </w:pPr>
            <w:r>
              <w:t xml:space="preserve">0.6</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A Month or Less</w:t>
            </w:r>
          </w:p>
        </w:tc>
        <w:tc>
          <w:tcPr/>
          <w:p>
            <w:pPr>
              <w:pStyle w:val="Compact"/>
              <w:jc w:val="right"/>
            </w:pPr>
            <w:r>
              <w:t xml:space="preserve">0.4</w:t>
            </w:r>
          </w:p>
        </w:tc>
        <w:tc>
          <w:tcPr/>
          <w:p>
            <w:pPr>
              <w:pStyle w:val="Compact"/>
              <w:jc w:val="right"/>
            </w:pPr>
            <w:r>
              <w:t xml:space="preserve">0.84</w:t>
            </w:r>
          </w:p>
        </w:tc>
      </w:tr>
      <w:tr>
        <w:tc>
          <w:tcPr/>
          <w:p>
            <w:pPr>
              <w:pStyle w:val="Compact"/>
            </w:pPr>
          </w:p>
        </w:tc>
        <w:tc>
          <w:tcPr/>
          <w:p>
            <w:pPr>
              <w:pStyle w:val="Compact"/>
            </w:pPr>
          </w:p>
        </w:tc>
        <w:tc>
          <w:tcPr/>
          <w:p>
            <w:pPr>
              <w:pStyle w:val="Compact"/>
              <w:jc w:val="left"/>
            </w:pPr>
            <w:r>
              <w:t xml:space="preserve">A Week or Less</w:t>
            </w:r>
          </w:p>
        </w:tc>
        <w:tc>
          <w:tcPr/>
          <w:p>
            <w:pPr>
              <w:pStyle w:val="Compact"/>
              <w:jc w:val="right"/>
            </w:pPr>
            <w:r>
              <w:t xml:space="preserve">0.2</w:t>
            </w:r>
          </w:p>
        </w:tc>
        <w:tc>
          <w:tcPr/>
          <w:p>
            <w:pPr>
              <w:pStyle w:val="Compact"/>
              <w:jc w:val="right"/>
            </w:pPr>
            <w:r>
              <w:t xml:space="preserve">0.78</w:t>
            </w:r>
          </w:p>
        </w:tc>
      </w:tr>
      <w:tr>
        <w:tc>
          <w:tcPr/>
          <w:p>
            <w:pPr>
              <w:pStyle w:val="Compact"/>
            </w:pPr>
          </w:p>
        </w:tc>
        <w:tc>
          <w:tcPr/>
          <w:p>
            <w:pPr>
              <w:pStyle w:val="Compact"/>
              <w:jc w:val="left"/>
            </w:pPr>
            <w:r>
              <w:rPr>
                <w:bCs/>
                <w:b/>
              </w:rPr>
              <w:t xml:space="preserve">Frequency</w:t>
            </w:r>
          </w:p>
        </w:tc>
        <w:tc>
          <w:tcPr/>
          <w:p>
            <w:pPr>
              <w:pStyle w:val="Compact"/>
              <w:jc w:val="left"/>
            </w:pPr>
            <w:r>
              <w:t xml:space="preserve">At least Monthly</w:t>
            </w:r>
          </w:p>
        </w:tc>
        <w:tc>
          <w:tcPr/>
          <w:p>
            <w:pPr>
              <w:pStyle w:val="Compact"/>
              <w:jc w:val="right"/>
            </w:pPr>
            <w:r>
              <w:t xml:space="preserve">1</w:t>
            </w:r>
          </w:p>
        </w:tc>
        <w:tc>
          <w:tcPr/>
          <w:p>
            <w:pPr>
              <w:pStyle w:val="Compact"/>
              <w:jc w:val="right"/>
            </w:pPr>
            <w:r>
              <w:t xml:space="preserve">1</w:t>
            </w:r>
          </w:p>
        </w:tc>
      </w:tr>
      <w:tr>
        <w:tc>
          <w:tcPr/>
          <w:p>
            <w:pPr>
              <w:pStyle w:val="Compact"/>
            </w:pPr>
          </w:p>
        </w:tc>
        <w:tc>
          <w:tcPr/>
          <w:p>
            <w:pPr>
              <w:pStyle w:val="Compact"/>
            </w:pPr>
          </w:p>
        </w:tc>
        <w:tc>
          <w:tcPr/>
          <w:p>
            <w:pPr>
              <w:pStyle w:val="Compact"/>
              <w:jc w:val="left"/>
            </w:pPr>
            <w:r>
              <w:t xml:space="preserve">At least Weekly</w:t>
            </w:r>
          </w:p>
        </w:tc>
        <w:tc>
          <w:tcPr/>
          <w:p>
            <w:pPr>
              <w:pStyle w:val="Compact"/>
              <w:jc w:val="right"/>
            </w:pPr>
            <w:r>
              <w:t xml:space="preserve">0.8</w:t>
            </w:r>
          </w:p>
        </w:tc>
        <w:tc>
          <w:tcPr/>
          <w:p>
            <w:pPr>
              <w:pStyle w:val="Compact"/>
              <w:jc w:val="right"/>
            </w:pPr>
            <w:r>
              <w:t xml:space="preserve">0.95</w:t>
            </w:r>
          </w:p>
        </w:tc>
      </w:tr>
      <w:tr>
        <w:tc>
          <w:tcPr/>
          <w:p>
            <w:pPr>
              <w:pStyle w:val="Compact"/>
            </w:pPr>
          </w:p>
        </w:tc>
        <w:tc>
          <w:tcPr/>
          <w:p>
            <w:pPr>
              <w:pStyle w:val="Compact"/>
            </w:pPr>
          </w:p>
        </w:tc>
        <w:tc>
          <w:tcPr/>
          <w:p>
            <w:pPr>
              <w:pStyle w:val="Compact"/>
              <w:jc w:val="left"/>
            </w:pPr>
            <w:r>
              <w:t xml:space="preserve">More than once</w:t>
            </w:r>
          </w:p>
        </w:tc>
        <w:tc>
          <w:tcPr/>
          <w:p>
            <w:pPr>
              <w:pStyle w:val="Compact"/>
              <w:jc w:val="right"/>
            </w:pPr>
            <w:r>
              <w:t xml:space="preserve">0.6</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Daily or more</w:t>
            </w:r>
          </w:p>
        </w:tc>
        <w:tc>
          <w:tcPr/>
          <w:p>
            <w:pPr>
              <w:pStyle w:val="Compact"/>
              <w:jc w:val="right"/>
            </w:pPr>
            <w:r>
              <w:t xml:space="preserve">0.4</w:t>
            </w:r>
          </w:p>
        </w:tc>
        <w:tc>
          <w:tcPr/>
          <w:p>
            <w:pPr>
              <w:pStyle w:val="Compact"/>
              <w:jc w:val="right"/>
            </w:pPr>
            <w:r>
              <w:t xml:space="preserve">0.84</w:t>
            </w:r>
          </w:p>
        </w:tc>
      </w:tr>
      <w:tr>
        <w:tc>
          <w:tcPr/>
          <w:p>
            <w:pPr>
              <w:pStyle w:val="Compact"/>
            </w:pPr>
          </w:p>
        </w:tc>
        <w:tc>
          <w:tcPr/>
          <w:p>
            <w:pPr>
              <w:pStyle w:val="Compact"/>
            </w:pPr>
          </w:p>
        </w:tc>
        <w:tc>
          <w:tcPr/>
          <w:p>
            <w:pPr>
              <w:pStyle w:val="Compact"/>
              <w:jc w:val="left"/>
            </w:pPr>
            <w:r>
              <w:t xml:space="preserve">Once</w:t>
            </w:r>
          </w:p>
        </w:tc>
        <w:tc>
          <w:tcPr/>
          <w:p>
            <w:pPr>
              <w:pStyle w:val="Compact"/>
              <w:jc w:val="right"/>
            </w:pPr>
            <w:r>
              <w:t xml:space="preserve">0.2</w:t>
            </w:r>
          </w:p>
        </w:tc>
        <w:tc>
          <w:tcPr/>
          <w:p>
            <w:pPr>
              <w:pStyle w:val="Compact"/>
              <w:jc w:val="right"/>
            </w:pPr>
            <w:r>
              <w:t xml:space="preserve">0.78</w:t>
            </w:r>
          </w:p>
        </w:tc>
      </w:tr>
      <w:tr>
        <w:tc>
          <w:tcPr/>
          <w:p>
            <w:pPr>
              <w:pStyle w:val="Compact"/>
            </w:pPr>
          </w:p>
        </w:tc>
        <w:tc>
          <w:tcPr/>
          <w:p>
            <w:pPr>
              <w:pStyle w:val="Compact"/>
              <w:jc w:val="left"/>
            </w:pPr>
            <w:r>
              <w:rPr>
                <w:bCs/>
                <w:b/>
              </w:rPr>
              <w:t xml:space="preserve">Research Questions</w:t>
            </w:r>
          </w:p>
        </w:tc>
        <w:tc>
          <w:tcPr/>
          <w:p>
            <w:pPr>
              <w:pStyle w:val="Compact"/>
              <w:jc w:val="left"/>
            </w:pPr>
            <w:r>
              <w:t xml:space="preserve">The Community contributed to the research question or questions to be explored</w:t>
            </w:r>
          </w:p>
        </w:tc>
        <w:tc>
          <w:tcPr/>
          <w:p>
            <w:pPr>
              <w:pStyle w:val="Compact"/>
              <w:jc w:val="right"/>
            </w:pPr>
            <w:r>
              <w:t xml:space="preserve">1</w:t>
            </w:r>
          </w:p>
        </w:tc>
        <w:tc>
          <w:tcPr/>
          <w:p>
            <w:pPr>
              <w:pStyle w:val="Compact"/>
              <w:jc w:val="right"/>
            </w:pPr>
            <w:r>
              <w:t xml:space="preserve">1</w:t>
            </w:r>
          </w:p>
        </w:tc>
      </w:tr>
      <w:tr>
        <w:tc>
          <w:tcPr/>
          <w:p>
            <w:pPr>
              <w:pStyle w:val="Compact"/>
            </w:pPr>
          </w:p>
        </w:tc>
        <w:tc>
          <w:tcPr/>
          <w:p>
            <w:pPr>
              <w:pStyle w:val="Compact"/>
            </w:pPr>
          </w:p>
        </w:tc>
        <w:tc>
          <w:tcPr/>
          <w:p>
            <w:pPr>
              <w:pStyle w:val="Compact"/>
              <w:jc w:val="left"/>
            </w:pPr>
            <w:r>
              <w:t xml:space="preserve">The Research Team contributed to the research question or questions to be explored</w:t>
            </w:r>
          </w:p>
        </w:tc>
        <w:tc>
          <w:tcPr/>
          <w:p>
            <w:pPr>
              <w:pStyle w:val="Compact"/>
              <w:jc w:val="right"/>
            </w:pPr>
            <w:r>
              <w:t xml:space="preserve">0.8</w:t>
            </w:r>
          </w:p>
        </w:tc>
        <w:tc>
          <w:tcPr/>
          <w:p>
            <w:pPr>
              <w:pStyle w:val="Compact"/>
              <w:jc w:val="right"/>
            </w:pPr>
            <w:r>
              <w:t xml:space="preserve">0.95</w:t>
            </w:r>
          </w:p>
        </w:tc>
      </w:tr>
      <w:tr>
        <w:tc>
          <w:tcPr/>
          <w:p>
            <w:pPr>
              <w:pStyle w:val="Compact"/>
            </w:pPr>
          </w:p>
        </w:tc>
        <w:tc>
          <w:tcPr/>
          <w:p>
            <w:pPr>
              <w:pStyle w:val="Compact"/>
            </w:pPr>
          </w:p>
        </w:tc>
        <w:tc>
          <w:tcPr/>
          <w:p>
            <w:pPr>
              <w:pStyle w:val="Compact"/>
              <w:jc w:val="left"/>
            </w:pPr>
            <w:r>
              <w:t xml:space="preserve">The research question or questions recognized and supported the Community’s cultural wealth and capital and agency</w:t>
            </w:r>
          </w:p>
        </w:tc>
        <w:tc>
          <w:tcPr/>
          <w:p>
            <w:pPr>
              <w:pStyle w:val="Compact"/>
              <w:jc w:val="right"/>
            </w:pPr>
            <w:r>
              <w:t xml:space="preserve">0.6</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The research question or questions provided opportunities to generate new understandings for the discipline(s) of the Research Team and to benefit the Community</w:t>
            </w:r>
          </w:p>
        </w:tc>
        <w:tc>
          <w:tcPr/>
          <w:p>
            <w:pPr>
              <w:pStyle w:val="Compact"/>
              <w:jc w:val="right"/>
            </w:pPr>
            <w:r>
              <w:t xml:space="preserve">0.4</w:t>
            </w:r>
          </w:p>
        </w:tc>
        <w:tc>
          <w:tcPr/>
          <w:p>
            <w:pPr>
              <w:pStyle w:val="Compact"/>
              <w:jc w:val="right"/>
            </w:pPr>
            <w:r>
              <w:t xml:space="preserve">0.84</w:t>
            </w:r>
          </w:p>
        </w:tc>
      </w:tr>
      <w:tr>
        <w:tc>
          <w:tcPr/>
          <w:p>
            <w:pPr>
              <w:pStyle w:val="Compact"/>
            </w:pPr>
          </w:p>
        </w:tc>
        <w:tc>
          <w:tcPr/>
          <w:p>
            <w:pPr>
              <w:pStyle w:val="Compact"/>
            </w:pPr>
          </w:p>
        </w:tc>
        <w:tc>
          <w:tcPr/>
          <w:p>
            <w:pPr>
              <w:pStyle w:val="Compact"/>
              <w:jc w:val="left"/>
            </w:pPr>
            <w:r>
              <w:t xml:space="preserve">The research question or questions were designed to align with the goals and purposes of the project</w:t>
            </w:r>
          </w:p>
        </w:tc>
        <w:tc>
          <w:tcPr/>
          <w:p>
            <w:pPr>
              <w:pStyle w:val="Compact"/>
              <w:jc w:val="right"/>
            </w:pPr>
            <w:r>
              <w:t xml:space="preserve">0.2</w:t>
            </w:r>
          </w:p>
        </w:tc>
        <w:tc>
          <w:tcPr/>
          <w:p>
            <w:pPr>
              <w:pStyle w:val="Compact"/>
              <w:jc w:val="right"/>
            </w:pPr>
            <w:r>
              <w:t xml:space="preserve">0.78</w:t>
            </w:r>
          </w:p>
        </w:tc>
      </w:tr>
      <w:tr>
        <w:tc>
          <w:tcPr/>
          <w:p>
            <w:pPr>
              <w:pStyle w:val="Compact"/>
            </w:pPr>
          </w:p>
        </w:tc>
        <w:tc>
          <w:tcPr/>
          <w:p>
            <w:pPr>
              <w:pStyle w:val="Compact"/>
              <w:jc w:val="left"/>
            </w:pPr>
            <w:r>
              <w:rPr>
                <w:bCs/>
                <w:b/>
              </w:rPr>
              <w:t xml:space="preserve">Voice</w:t>
            </w:r>
          </w:p>
        </w:tc>
        <w:tc>
          <w:tcPr/>
          <w:p>
            <w:pPr>
              <w:pStyle w:val="Compact"/>
              <w:jc w:val="left"/>
            </w:pPr>
            <w:r>
              <w:t xml:space="preserve">Materials and Events utilized Community-Centered Language</w:t>
            </w:r>
          </w:p>
        </w:tc>
        <w:tc>
          <w:tcPr/>
          <w:p>
            <w:pPr>
              <w:pStyle w:val="Compact"/>
              <w:jc w:val="right"/>
            </w:pPr>
            <w:r>
              <w:t xml:space="preserve">1</w:t>
            </w:r>
          </w:p>
        </w:tc>
        <w:tc>
          <w:tcPr/>
          <w:p>
            <w:pPr>
              <w:pStyle w:val="Compact"/>
              <w:jc w:val="right"/>
            </w:pPr>
            <w:r>
              <w:t xml:space="preserve">1</w:t>
            </w:r>
          </w:p>
        </w:tc>
      </w:tr>
      <w:tr>
        <w:tc>
          <w:tcPr/>
          <w:p>
            <w:pPr>
              <w:pStyle w:val="Compact"/>
            </w:pPr>
          </w:p>
        </w:tc>
        <w:tc>
          <w:tcPr/>
          <w:p>
            <w:pPr>
              <w:pStyle w:val="Compact"/>
            </w:pPr>
          </w:p>
        </w:tc>
        <w:tc>
          <w:tcPr/>
          <w:p>
            <w:pPr>
              <w:pStyle w:val="Compact"/>
              <w:jc w:val="left"/>
            </w:pPr>
            <w:r>
              <w:t xml:space="preserve">Materials and Events were fit specifically for local settings</w:t>
            </w:r>
          </w:p>
        </w:tc>
        <w:tc>
          <w:tcPr/>
          <w:p>
            <w:pPr>
              <w:pStyle w:val="Compact"/>
              <w:jc w:val="right"/>
            </w:pPr>
            <w:r>
              <w:t xml:space="preserve">0.8</w:t>
            </w:r>
          </w:p>
        </w:tc>
        <w:tc>
          <w:tcPr/>
          <w:p>
            <w:pPr>
              <w:pStyle w:val="Compact"/>
              <w:jc w:val="right"/>
            </w:pPr>
            <w:r>
              <w:t xml:space="preserve">0.95</w:t>
            </w:r>
          </w:p>
        </w:tc>
      </w:tr>
      <w:tr>
        <w:tc>
          <w:tcPr/>
          <w:p>
            <w:pPr>
              <w:pStyle w:val="Compact"/>
            </w:pPr>
          </w:p>
        </w:tc>
        <w:tc>
          <w:tcPr/>
          <w:p>
            <w:pPr>
              <w:pStyle w:val="Compact"/>
            </w:pPr>
          </w:p>
        </w:tc>
        <w:tc>
          <w:tcPr/>
          <w:p>
            <w:pPr>
              <w:pStyle w:val="Compact"/>
              <w:jc w:val="left"/>
            </w:pPr>
            <w:r>
              <w:t xml:space="preserve">Materials and Events were aligned with the goals and purposes of the project</w:t>
            </w:r>
          </w:p>
        </w:tc>
        <w:tc>
          <w:tcPr/>
          <w:p>
            <w:pPr>
              <w:pStyle w:val="Compact"/>
              <w:jc w:val="right"/>
            </w:pPr>
            <w:r>
              <w:t xml:space="preserve">0.6</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Materials and Events were culture-centered activities</w:t>
            </w:r>
          </w:p>
        </w:tc>
        <w:tc>
          <w:tcPr/>
          <w:p>
            <w:pPr>
              <w:pStyle w:val="Compact"/>
              <w:jc w:val="right"/>
            </w:pPr>
            <w:r>
              <w:t xml:space="preserve">0.4</w:t>
            </w:r>
          </w:p>
        </w:tc>
        <w:tc>
          <w:tcPr/>
          <w:p>
            <w:pPr>
              <w:pStyle w:val="Compact"/>
              <w:jc w:val="right"/>
            </w:pPr>
            <w:r>
              <w:t xml:space="preserve">0.84</w:t>
            </w:r>
          </w:p>
        </w:tc>
      </w:tr>
      <w:tr>
        <w:tc>
          <w:tcPr/>
          <w:p>
            <w:pPr>
              <w:pStyle w:val="Compact"/>
            </w:pPr>
          </w:p>
        </w:tc>
        <w:tc>
          <w:tcPr/>
          <w:p>
            <w:pPr>
              <w:pStyle w:val="Compact"/>
            </w:pPr>
          </w:p>
        </w:tc>
        <w:tc>
          <w:tcPr/>
          <w:p>
            <w:pPr>
              <w:pStyle w:val="Compact"/>
              <w:jc w:val="left"/>
            </w:pPr>
            <w:r>
              <w:t xml:space="preserve">Materials and Events utilized Academic Language</w:t>
            </w:r>
          </w:p>
        </w:tc>
        <w:tc>
          <w:tcPr/>
          <w:p>
            <w:pPr>
              <w:pStyle w:val="Compact"/>
              <w:jc w:val="right"/>
            </w:pPr>
            <w:r>
              <w:t xml:space="preserve">0.2</w:t>
            </w:r>
          </w:p>
        </w:tc>
        <w:tc>
          <w:tcPr/>
          <w:p>
            <w:pPr>
              <w:pStyle w:val="Compact"/>
              <w:jc w:val="right"/>
            </w:pPr>
            <w:r>
              <w:t xml:space="preserve">0.78</w:t>
            </w:r>
          </w:p>
        </w:tc>
      </w:tr>
      <w:tr>
        <w:tc>
          <w:tcPr/>
          <w:p>
            <w:pPr>
              <w:pStyle w:val="Compact"/>
              <w:jc w:val="left"/>
            </w:pPr>
            <w:r>
              <w:rPr>
                <w:iCs/>
                <w:i/>
                <w:bCs/>
                <w:b/>
              </w:rPr>
              <w:t xml:space="preserve">Engaged Learning</w:t>
            </w:r>
          </w:p>
        </w:tc>
        <w:tc>
          <w:tcPr/>
          <w:p>
            <w:pPr>
              <w:pStyle w:val="Compact"/>
              <w:jc w:val="left"/>
            </w:pPr>
            <w:r>
              <w:rPr>
                <w:bCs/>
                <w:b/>
              </w:rPr>
              <w:t xml:space="preserve">Civic Learning</w:t>
            </w:r>
          </w:p>
        </w:tc>
        <w:tc>
          <w:tcPr/>
          <w:p>
            <w:pPr>
              <w:pStyle w:val="Compact"/>
              <w:jc w:val="left"/>
            </w:pPr>
            <w:r>
              <w:t xml:space="preserve">Opportunities are offered for meaning-making and making connections between civic learning and real-world contexts</w:t>
            </w:r>
          </w:p>
        </w:tc>
        <w:tc>
          <w:tcPr/>
          <w:p>
            <w:pPr>
              <w:pStyle w:val="Compact"/>
              <w:jc w:val="right"/>
            </w:pPr>
            <w:r>
              <w:t xml:space="preserve">1</w:t>
            </w:r>
          </w:p>
        </w:tc>
        <w:tc>
          <w:tcPr/>
          <w:p>
            <w:pPr>
              <w:pStyle w:val="Compact"/>
              <w:jc w:val="right"/>
            </w:pPr>
            <w:r>
              <w:t xml:space="preserve">1</w:t>
            </w:r>
          </w:p>
        </w:tc>
      </w:tr>
      <w:tr>
        <w:tc>
          <w:tcPr/>
          <w:p>
            <w:pPr>
              <w:pStyle w:val="Compact"/>
            </w:pPr>
          </w:p>
        </w:tc>
        <w:tc>
          <w:tcPr/>
          <w:p>
            <w:pPr>
              <w:pStyle w:val="Compact"/>
            </w:pPr>
          </w:p>
        </w:tc>
        <w:tc>
          <w:tcPr/>
          <w:p>
            <w:pPr>
              <w:pStyle w:val="Compact"/>
              <w:jc w:val="left"/>
            </w:pPr>
            <w:r>
              <w:t xml:space="preserve">Course and community activities are facilitated to support civic learning</w:t>
            </w:r>
          </w:p>
        </w:tc>
        <w:tc>
          <w:tcPr/>
          <w:p>
            <w:pPr>
              <w:pStyle w:val="Compact"/>
              <w:jc w:val="right"/>
            </w:pPr>
            <w:r>
              <w:t xml:space="preserve">0.8</w:t>
            </w:r>
          </w:p>
        </w:tc>
        <w:tc>
          <w:tcPr/>
          <w:p>
            <w:pPr>
              <w:pStyle w:val="Compact"/>
              <w:jc w:val="right"/>
            </w:pPr>
            <w:r>
              <w:t xml:space="preserve">0.95</w:t>
            </w:r>
          </w:p>
        </w:tc>
      </w:tr>
      <w:tr>
        <w:tc>
          <w:tcPr/>
          <w:p>
            <w:pPr>
              <w:pStyle w:val="Compact"/>
            </w:pPr>
          </w:p>
        </w:tc>
        <w:tc>
          <w:tcPr/>
          <w:p>
            <w:pPr>
              <w:pStyle w:val="Compact"/>
            </w:pPr>
          </w:p>
        </w:tc>
        <w:tc>
          <w:tcPr/>
          <w:p>
            <w:pPr>
              <w:pStyle w:val="Compact"/>
              <w:jc w:val="left"/>
            </w:pPr>
            <w:r>
              <w:t xml:space="preserve">Civic learning expectations and outcomes are included in the course syllabus</w:t>
            </w:r>
          </w:p>
        </w:tc>
        <w:tc>
          <w:tcPr/>
          <w:p>
            <w:pPr>
              <w:pStyle w:val="Compact"/>
              <w:jc w:val="right"/>
            </w:pPr>
            <w:r>
              <w:t xml:space="preserve">0.6</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There is an alignment across the syllabus, the activities, and the assessments to ensure civic learning is assessed throughout the course</w:t>
            </w:r>
          </w:p>
        </w:tc>
        <w:tc>
          <w:tcPr/>
          <w:p>
            <w:pPr>
              <w:pStyle w:val="Compact"/>
              <w:jc w:val="right"/>
            </w:pPr>
            <w:r>
              <w:t xml:space="preserve">0.4</w:t>
            </w:r>
          </w:p>
        </w:tc>
        <w:tc>
          <w:tcPr/>
          <w:p>
            <w:pPr>
              <w:pStyle w:val="Compact"/>
              <w:jc w:val="right"/>
            </w:pPr>
            <w:r>
              <w:t xml:space="preserve">0.84</w:t>
            </w:r>
          </w:p>
        </w:tc>
      </w:tr>
      <w:tr>
        <w:tc>
          <w:tcPr/>
          <w:p>
            <w:pPr>
              <w:pStyle w:val="Compact"/>
            </w:pPr>
          </w:p>
        </w:tc>
        <w:tc>
          <w:tcPr/>
          <w:p>
            <w:pPr>
              <w:pStyle w:val="Compact"/>
            </w:pPr>
          </w:p>
        </w:tc>
        <w:tc>
          <w:tcPr/>
          <w:p>
            <w:pPr>
              <w:pStyle w:val="Compact"/>
              <w:jc w:val="left"/>
            </w:pPr>
            <w:r>
              <w:t xml:space="preserve">Opportunities are offered for meaning-making and making connections between civic learning and academic work in the course</w:t>
            </w:r>
          </w:p>
        </w:tc>
        <w:tc>
          <w:tcPr/>
          <w:p>
            <w:pPr>
              <w:pStyle w:val="Compact"/>
              <w:jc w:val="right"/>
            </w:pPr>
            <w:r>
              <w:t xml:space="preserve">0.2</w:t>
            </w:r>
          </w:p>
        </w:tc>
        <w:tc>
          <w:tcPr/>
          <w:p>
            <w:pPr>
              <w:pStyle w:val="Compact"/>
              <w:jc w:val="right"/>
            </w:pPr>
            <w:r>
              <w:t xml:space="preserve">0.78</w:t>
            </w:r>
          </w:p>
        </w:tc>
      </w:tr>
      <w:tr>
        <w:tc>
          <w:tcPr/>
          <w:p>
            <w:pPr>
              <w:pStyle w:val="Compact"/>
            </w:pPr>
          </w:p>
        </w:tc>
        <w:tc>
          <w:tcPr/>
          <w:p>
            <w:pPr>
              <w:pStyle w:val="Compact"/>
              <w:jc w:val="left"/>
            </w:pPr>
            <w:r>
              <w:rPr>
                <w:bCs/>
                <w:b/>
              </w:rPr>
              <w:t xml:space="preserve">Integration</w:t>
            </w:r>
          </w:p>
        </w:tc>
        <w:tc>
          <w:tcPr/>
          <w:p>
            <w:pPr>
              <w:pStyle w:val="Compact"/>
              <w:jc w:val="left"/>
            </w:pPr>
            <w:r>
              <w:t xml:space="preserve">The Community is included in the decision making around the inclusion of engaged learning in the broader research project</w:t>
            </w:r>
          </w:p>
        </w:tc>
        <w:tc>
          <w:tcPr/>
          <w:p>
            <w:pPr>
              <w:pStyle w:val="Compact"/>
              <w:jc w:val="right"/>
            </w:pPr>
            <w:r>
              <w:t xml:space="preserve">1</w:t>
            </w:r>
          </w:p>
        </w:tc>
        <w:tc>
          <w:tcPr/>
          <w:p>
            <w:pPr>
              <w:pStyle w:val="Compact"/>
              <w:jc w:val="right"/>
            </w:pPr>
            <w:r>
              <w:t xml:space="preserve">1</w:t>
            </w:r>
          </w:p>
        </w:tc>
      </w:tr>
      <w:tr>
        <w:tc>
          <w:tcPr/>
          <w:p>
            <w:pPr>
              <w:pStyle w:val="Compact"/>
            </w:pPr>
          </w:p>
        </w:tc>
        <w:tc>
          <w:tcPr/>
          <w:p>
            <w:pPr>
              <w:pStyle w:val="Compact"/>
            </w:pPr>
          </w:p>
        </w:tc>
        <w:tc>
          <w:tcPr/>
          <w:p>
            <w:pPr>
              <w:pStyle w:val="Compact"/>
              <w:jc w:val="left"/>
            </w:pPr>
            <w:r>
              <w:t xml:space="preserve">Students’ engagement activities with the Community support research and intervention activities by building capacities and capabilities and/or generating useful understandings and/or practices</w:t>
            </w:r>
          </w:p>
        </w:tc>
        <w:tc>
          <w:tcPr/>
          <w:p>
            <w:pPr>
              <w:pStyle w:val="Compact"/>
              <w:jc w:val="right"/>
            </w:pPr>
            <w:r>
              <w:t xml:space="preserve">0.75</w:t>
            </w:r>
          </w:p>
        </w:tc>
        <w:tc>
          <w:tcPr/>
          <w:p>
            <w:pPr>
              <w:pStyle w:val="Compact"/>
              <w:jc w:val="right"/>
            </w:pPr>
            <w:r>
              <w:t xml:space="preserve">0.95</w:t>
            </w:r>
          </w:p>
        </w:tc>
      </w:tr>
      <w:tr>
        <w:tc>
          <w:tcPr/>
          <w:p>
            <w:pPr>
              <w:pStyle w:val="Compact"/>
            </w:pPr>
          </w:p>
        </w:tc>
        <w:tc>
          <w:tcPr/>
          <w:p>
            <w:pPr>
              <w:pStyle w:val="Compact"/>
            </w:pPr>
          </w:p>
        </w:tc>
        <w:tc>
          <w:tcPr/>
          <w:p>
            <w:pPr>
              <w:pStyle w:val="Compact"/>
              <w:jc w:val="left"/>
            </w:pPr>
            <w:r>
              <w:t xml:space="preserve">Course artifacts and outputs support research and intervention activities by building capacities and capabilities and/or generating useful understandings and/or practices</w:t>
            </w:r>
          </w:p>
        </w:tc>
        <w:tc>
          <w:tcPr/>
          <w:p>
            <w:pPr>
              <w:pStyle w:val="Compact"/>
              <w:jc w:val="right"/>
            </w:pPr>
            <w:r>
              <w:t xml:space="preserve">0.5</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Relationships and dynamics between the Instructor, the Community, and the Students are similar to the relationships and dynamics of the broader research project</w:t>
            </w:r>
          </w:p>
        </w:tc>
        <w:tc>
          <w:tcPr/>
          <w:p>
            <w:pPr>
              <w:pStyle w:val="Compact"/>
              <w:jc w:val="right"/>
            </w:pPr>
            <w:r>
              <w:t xml:space="preserve">0.25</w:t>
            </w:r>
          </w:p>
        </w:tc>
        <w:tc>
          <w:tcPr/>
          <w:p>
            <w:pPr>
              <w:pStyle w:val="Compact"/>
              <w:jc w:val="right"/>
            </w:pPr>
            <w:r>
              <w:t xml:space="preserve">0.84</w:t>
            </w:r>
          </w:p>
        </w:tc>
      </w:tr>
      <w:tr>
        <w:tc>
          <w:tcPr/>
          <w:p>
            <w:pPr>
              <w:pStyle w:val="Compact"/>
            </w:pPr>
          </w:p>
        </w:tc>
        <w:tc>
          <w:tcPr/>
          <w:p>
            <w:pPr>
              <w:pStyle w:val="Compact"/>
              <w:jc w:val="left"/>
            </w:pPr>
            <w:r>
              <w:rPr>
                <w:bCs/>
                <w:b/>
              </w:rPr>
              <w:t xml:space="preserve">Learning Goals</w:t>
            </w:r>
          </w:p>
        </w:tc>
        <w:tc>
          <w:tcPr/>
          <w:p>
            <w:pPr>
              <w:pStyle w:val="Compact"/>
              <w:jc w:val="left"/>
            </w:pPr>
            <w:r>
              <w:t xml:space="preserve">Critical reflection activities are used to deepen collaborative relationships with the Community</w:t>
            </w:r>
          </w:p>
        </w:tc>
        <w:tc>
          <w:tcPr/>
          <w:p>
            <w:pPr>
              <w:pStyle w:val="Compact"/>
              <w:jc w:val="right"/>
            </w:pPr>
            <w:r>
              <w:t xml:space="preserve">1</w:t>
            </w:r>
          </w:p>
        </w:tc>
        <w:tc>
          <w:tcPr/>
          <w:p>
            <w:pPr>
              <w:pStyle w:val="Compact"/>
              <w:jc w:val="right"/>
            </w:pPr>
            <w:r>
              <w:t xml:space="preserve">1</w:t>
            </w:r>
          </w:p>
        </w:tc>
      </w:tr>
      <w:tr>
        <w:tc>
          <w:tcPr/>
          <w:p>
            <w:pPr>
              <w:pStyle w:val="Compact"/>
            </w:pPr>
          </w:p>
        </w:tc>
        <w:tc>
          <w:tcPr/>
          <w:p>
            <w:pPr>
              <w:pStyle w:val="Compact"/>
            </w:pPr>
          </w:p>
        </w:tc>
        <w:tc>
          <w:tcPr/>
          <w:p>
            <w:pPr>
              <w:pStyle w:val="Compact"/>
              <w:jc w:val="left"/>
            </w:pPr>
            <w:r>
              <w:t xml:space="preserve">Critical reflection activities are offered that help students make connections across course content and beyond</w:t>
            </w:r>
          </w:p>
        </w:tc>
        <w:tc>
          <w:tcPr/>
          <w:p>
            <w:pPr>
              <w:pStyle w:val="Compact"/>
              <w:jc w:val="right"/>
            </w:pPr>
            <w:r>
              <w:t xml:space="preserve">0.8</w:t>
            </w:r>
          </w:p>
        </w:tc>
        <w:tc>
          <w:tcPr/>
          <w:p>
            <w:pPr>
              <w:pStyle w:val="Compact"/>
              <w:jc w:val="right"/>
            </w:pPr>
            <w:r>
              <w:t xml:space="preserve">0.95</w:t>
            </w:r>
          </w:p>
        </w:tc>
      </w:tr>
      <w:tr>
        <w:tc>
          <w:tcPr/>
          <w:p>
            <w:pPr>
              <w:pStyle w:val="Compact"/>
            </w:pPr>
          </w:p>
        </w:tc>
        <w:tc>
          <w:tcPr/>
          <w:p>
            <w:pPr>
              <w:pStyle w:val="Compact"/>
            </w:pPr>
          </w:p>
        </w:tc>
        <w:tc>
          <w:tcPr/>
          <w:p>
            <w:pPr>
              <w:pStyle w:val="Compact"/>
              <w:jc w:val="left"/>
            </w:pPr>
            <w:r>
              <w:t xml:space="preserve">There are ongoing critical reflection activities with scaffolding that allow deepened reflections on engaged experiences</w:t>
            </w:r>
          </w:p>
        </w:tc>
        <w:tc>
          <w:tcPr/>
          <w:p>
            <w:pPr>
              <w:pStyle w:val="Compact"/>
              <w:jc w:val="right"/>
            </w:pPr>
            <w:r>
              <w:t xml:space="preserve">0.6</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Expectations for critical reflection are built into the course requirements and are stated in the syllabus</w:t>
            </w:r>
          </w:p>
        </w:tc>
        <w:tc>
          <w:tcPr/>
          <w:p>
            <w:pPr>
              <w:pStyle w:val="Compact"/>
              <w:jc w:val="right"/>
            </w:pPr>
            <w:r>
              <w:t xml:space="preserve">0.4</w:t>
            </w:r>
          </w:p>
        </w:tc>
        <w:tc>
          <w:tcPr/>
          <w:p>
            <w:pPr>
              <w:pStyle w:val="Compact"/>
              <w:jc w:val="right"/>
            </w:pPr>
            <w:r>
              <w:t xml:space="preserve">0.84</w:t>
            </w:r>
          </w:p>
        </w:tc>
      </w:tr>
      <w:tr>
        <w:tc>
          <w:tcPr/>
          <w:p>
            <w:pPr>
              <w:pStyle w:val="Compact"/>
            </w:pPr>
          </w:p>
        </w:tc>
        <w:tc>
          <w:tcPr/>
          <w:p>
            <w:pPr>
              <w:pStyle w:val="Compact"/>
            </w:pPr>
          </w:p>
        </w:tc>
        <w:tc>
          <w:tcPr/>
          <w:p>
            <w:pPr>
              <w:pStyle w:val="Compact"/>
              <w:jc w:val="left"/>
            </w:pPr>
            <w:r>
              <w:t xml:space="preserve">Critical reflection activities are used to enhance course content</w:t>
            </w:r>
          </w:p>
        </w:tc>
        <w:tc>
          <w:tcPr/>
          <w:p>
            <w:pPr>
              <w:pStyle w:val="Compact"/>
              <w:jc w:val="right"/>
            </w:pPr>
            <w:r>
              <w:t xml:space="preserve">0.2</w:t>
            </w:r>
          </w:p>
        </w:tc>
        <w:tc>
          <w:tcPr/>
          <w:p>
            <w:pPr>
              <w:pStyle w:val="Compact"/>
              <w:jc w:val="right"/>
            </w:pPr>
            <w:r>
              <w:t xml:space="preserve">0.78</w:t>
            </w:r>
          </w:p>
        </w:tc>
      </w:tr>
      <w:tr>
        <w:tc>
          <w:tcPr/>
          <w:p>
            <w:pPr>
              <w:pStyle w:val="Compact"/>
            </w:pPr>
          </w:p>
        </w:tc>
        <w:tc>
          <w:tcPr/>
          <w:p>
            <w:pPr>
              <w:pStyle w:val="Compact"/>
              <w:jc w:val="left"/>
            </w:pPr>
            <w:r>
              <w:rPr>
                <w:bCs/>
                <w:b/>
              </w:rPr>
              <w:t xml:space="preserve">Reciprocity</w:t>
            </w:r>
          </w:p>
        </w:tc>
        <w:tc>
          <w:tcPr/>
          <w:p>
            <w:pPr>
              <w:pStyle w:val="Compact"/>
              <w:jc w:val="left"/>
            </w:pPr>
            <w:r>
              <w:t xml:space="preserve">There is ongoing collaboration between the Community, the Instructor, and Students in all phases of the project or engaged experience</w:t>
            </w:r>
          </w:p>
        </w:tc>
        <w:tc>
          <w:tcPr/>
          <w:p>
            <w:pPr>
              <w:pStyle w:val="Compact"/>
              <w:jc w:val="right"/>
            </w:pPr>
            <w:r>
              <w:t xml:space="preserve">1</w:t>
            </w:r>
          </w:p>
        </w:tc>
        <w:tc>
          <w:tcPr/>
          <w:p>
            <w:pPr>
              <w:pStyle w:val="Compact"/>
              <w:jc w:val="right"/>
            </w:pPr>
            <w:r>
              <w:t xml:space="preserve">1</w:t>
            </w:r>
          </w:p>
        </w:tc>
      </w:tr>
      <w:tr>
        <w:tc>
          <w:tcPr/>
          <w:p>
            <w:pPr>
              <w:pStyle w:val="Compact"/>
            </w:pPr>
          </w:p>
        </w:tc>
        <w:tc>
          <w:tcPr/>
          <w:p>
            <w:pPr>
              <w:pStyle w:val="Compact"/>
            </w:pPr>
          </w:p>
        </w:tc>
        <w:tc>
          <w:tcPr/>
          <w:p>
            <w:pPr>
              <w:pStyle w:val="Compact"/>
              <w:jc w:val="left"/>
            </w:pPr>
            <w:r>
              <w:t xml:space="preserve">Students are aware of their accountability to contributing to the benefit of the Community</w:t>
            </w:r>
          </w:p>
        </w:tc>
        <w:tc>
          <w:tcPr/>
          <w:p>
            <w:pPr>
              <w:pStyle w:val="Compact"/>
              <w:jc w:val="right"/>
            </w:pPr>
            <w:r>
              <w:t xml:space="preserve">0.8</w:t>
            </w:r>
          </w:p>
        </w:tc>
        <w:tc>
          <w:tcPr/>
          <w:p>
            <w:pPr>
              <w:pStyle w:val="Compact"/>
              <w:jc w:val="right"/>
            </w:pPr>
            <w:r>
              <w:t xml:space="preserve">0.95</w:t>
            </w:r>
          </w:p>
        </w:tc>
      </w:tr>
      <w:tr>
        <w:tc>
          <w:tcPr/>
          <w:p>
            <w:pPr>
              <w:pStyle w:val="Compact"/>
            </w:pPr>
          </w:p>
        </w:tc>
        <w:tc>
          <w:tcPr/>
          <w:p>
            <w:pPr>
              <w:pStyle w:val="Compact"/>
            </w:pPr>
          </w:p>
        </w:tc>
        <w:tc>
          <w:tcPr/>
          <w:p>
            <w:pPr>
              <w:pStyle w:val="Compact"/>
              <w:jc w:val="left"/>
            </w:pPr>
            <w:r>
              <w:t xml:space="preserve">Activities are co-constructed by the Instructor, Community, and Students that benefit the Community and enrich Student learning</w:t>
            </w:r>
          </w:p>
        </w:tc>
        <w:tc>
          <w:tcPr/>
          <w:p>
            <w:pPr>
              <w:pStyle w:val="Compact"/>
              <w:jc w:val="right"/>
            </w:pPr>
            <w:r>
              <w:t xml:space="preserve">0.6</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Expectations around Community benefit and Student learning are included in the course syllabus</w:t>
            </w:r>
          </w:p>
        </w:tc>
        <w:tc>
          <w:tcPr/>
          <w:p>
            <w:pPr>
              <w:pStyle w:val="Compact"/>
              <w:jc w:val="right"/>
            </w:pPr>
            <w:r>
              <w:t xml:space="preserve">0.4</w:t>
            </w:r>
          </w:p>
        </w:tc>
        <w:tc>
          <w:tcPr/>
          <w:p>
            <w:pPr>
              <w:pStyle w:val="Compact"/>
              <w:jc w:val="right"/>
            </w:pPr>
            <w:r>
              <w:t xml:space="preserve">0.84</w:t>
            </w:r>
          </w:p>
        </w:tc>
      </w:tr>
      <w:tr>
        <w:tc>
          <w:tcPr/>
          <w:p>
            <w:pPr>
              <w:pStyle w:val="Compact"/>
            </w:pPr>
          </w:p>
        </w:tc>
        <w:tc>
          <w:tcPr/>
          <w:p>
            <w:pPr>
              <w:pStyle w:val="Compact"/>
            </w:pPr>
          </w:p>
        </w:tc>
        <w:tc>
          <w:tcPr/>
          <w:p>
            <w:pPr>
              <w:pStyle w:val="Compact"/>
              <w:jc w:val="left"/>
            </w:pPr>
            <w:r>
              <w:t xml:space="preserve">The Instructor facilitates an activity or activities that benefit the Community and enrich Student learning</w:t>
            </w:r>
          </w:p>
        </w:tc>
        <w:tc>
          <w:tcPr/>
          <w:p>
            <w:pPr>
              <w:pStyle w:val="Compact"/>
              <w:jc w:val="right"/>
            </w:pPr>
            <w:r>
              <w:t xml:space="preserve">0.2</w:t>
            </w:r>
          </w:p>
        </w:tc>
        <w:tc>
          <w:tcPr/>
          <w:p>
            <w:pPr>
              <w:pStyle w:val="Compact"/>
              <w:jc w:val="right"/>
            </w:pPr>
            <w:r>
              <w:t xml:space="preserve">0.78</w:t>
            </w:r>
          </w:p>
        </w:tc>
      </w:tr>
      <w:tr>
        <w:tc>
          <w:tcPr/>
          <w:p>
            <w:pPr>
              <w:pStyle w:val="Compact"/>
              <w:jc w:val="left"/>
            </w:pPr>
            <w:r>
              <w:rPr>
                <w:iCs/>
                <w:i/>
                <w:bCs/>
                <w:b/>
              </w:rPr>
              <w:t xml:space="preserve">Outcomes</w:t>
            </w:r>
          </w:p>
        </w:tc>
        <w:tc>
          <w:tcPr/>
          <w:p>
            <w:pPr>
              <w:pStyle w:val="Compact"/>
              <w:jc w:val="left"/>
            </w:pPr>
            <w:r>
              <w:rPr>
                <w:bCs/>
                <w:b/>
              </w:rPr>
              <w:t xml:space="preserve">Capacities and Capabilities Strengthened</w:t>
            </w:r>
          </w:p>
        </w:tc>
        <w:tc>
          <w:tcPr/>
          <w:p>
            <w:pPr>
              <w:pStyle w:val="Compact"/>
              <w:jc w:val="left"/>
            </w:pPr>
            <w:r>
              <w:t xml:space="preserve">Participant and/or Community well-being</w:t>
            </w:r>
          </w:p>
        </w:tc>
        <w:tc>
          <w:tcPr/>
          <w:p>
            <w:pPr>
              <w:pStyle w:val="Compact"/>
              <w:jc w:val="right"/>
            </w:pPr>
            <w:r>
              <w:t xml:space="preserve">1</w:t>
            </w:r>
          </w:p>
        </w:tc>
        <w:tc>
          <w:tcPr/>
          <w:p>
            <w:pPr>
              <w:pStyle w:val="Compact"/>
              <w:jc w:val="right"/>
            </w:pPr>
            <w:r>
              <w:t xml:space="preserve">1</w:t>
            </w:r>
          </w:p>
        </w:tc>
      </w:tr>
      <w:tr>
        <w:tc>
          <w:tcPr/>
          <w:p>
            <w:pPr>
              <w:pStyle w:val="Compact"/>
            </w:pPr>
          </w:p>
        </w:tc>
        <w:tc>
          <w:tcPr/>
          <w:p>
            <w:pPr>
              <w:pStyle w:val="Compact"/>
            </w:pPr>
          </w:p>
        </w:tc>
        <w:tc>
          <w:tcPr/>
          <w:p>
            <w:pPr>
              <w:pStyle w:val="Compact"/>
              <w:jc w:val="left"/>
            </w:pPr>
            <w:r>
              <w:t xml:space="preserve">Participant and/or Community agency</w:t>
            </w:r>
          </w:p>
        </w:tc>
        <w:tc>
          <w:tcPr/>
          <w:p>
            <w:pPr>
              <w:pStyle w:val="Compact"/>
              <w:jc w:val="right"/>
            </w:pPr>
            <w:r>
              <w:t xml:space="preserve">0.8</w:t>
            </w:r>
          </w:p>
        </w:tc>
        <w:tc>
          <w:tcPr/>
          <w:p>
            <w:pPr>
              <w:pStyle w:val="Compact"/>
              <w:jc w:val="right"/>
            </w:pPr>
            <w:r>
              <w:t xml:space="preserve">0.95</w:t>
            </w:r>
          </w:p>
        </w:tc>
      </w:tr>
      <w:tr>
        <w:tc>
          <w:tcPr/>
          <w:p>
            <w:pPr>
              <w:pStyle w:val="Compact"/>
            </w:pPr>
          </w:p>
        </w:tc>
        <w:tc>
          <w:tcPr/>
          <w:p>
            <w:pPr>
              <w:pStyle w:val="Compact"/>
            </w:pPr>
          </w:p>
        </w:tc>
        <w:tc>
          <w:tcPr/>
          <w:p>
            <w:pPr>
              <w:pStyle w:val="Compact"/>
              <w:jc w:val="left"/>
            </w:pPr>
            <w:r>
              <w:t xml:space="preserve">Mutual trust and respect between the Community and the Research Team and/or the Research Institution</w:t>
            </w:r>
          </w:p>
        </w:tc>
        <w:tc>
          <w:tcPr/>
          <w:p>
            <w:pPr>
              <w:pStyle w:val="Compact"/>
              <w:jc w:val="right"/>
            </w:pPr>
            <w:r>
              <w:t xml:space="preserve">0.6</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The fabric and cohesion of the Community</w:t>
            </w:r>
          </w:p>
        </w:tc>
        <w:tc>
          <w:tcPr/>
          <w:p>
            <w:pPr>
              <w:pStyle w:val="Compact"/>
              <w:jc w:val="right"/>
            </w:pPr>
            <w:r>
              <w:t xml:space="preserve">0.4</w:t>
            </w:r>
          </w:p>
        </w:tc>
        <w:tc>
          <w:tcPr/>
          <w:p>
            <w:pPr>
              <w:pStyle w:val="Compact"/>
              <w:jc w:val="right"/>
            </w:pPr>
            <w:r>
              <w:t xml:space="preserve">0.84</w:t>
            </w:r>
          </w:p>
        </w:tc>
      </w:tr>
      <w:tr>
        <w:tc>
          <w:tcPr/>
          <w:p>
            <w:pPr>
              <w:pStyle w:val="Compact"/>
            </w:pPr>
          </w:p>
        </w:tc>
        <w:tc>
          <w:tcPr/>
          <w:p>
            <w:pPr>
              <w:pStyle w:val="Compact"/>
            </w:pPr>
          </w:p>
        </w:tc>
        <w:tc>
          <w:tcPr/>
          <w:p>
            <w:pPr>
              <w:pStyle w:val="Compact"/>
              <w:jc w:val="left"/>
            </w:pPr>
            <w:r>
              <w:t xml:space="preserve">The distribution of opportunity and/or attainment</w:t>
            </w:r>
          </w:p>
        </w:tc>
        <w:tc>
          <w:tcPr/>
          <w:p>
            <w:pPr>
              <w:pStyle w:val="Compact"/>
              <w:jc w:val="right"/>
            </w:pPr>
            <w:r>
              <w:t xml:space="preserve">0.2</w:t>
            </w:r>
          </w:p>
        </w:tc>
        <w:tc>
          <w:tcPr/>
          <w:p>
            <w:pPr>
              <w:pStyle w:val="Compact"/>
              <w:jc w:val="right"/>
            </w:pPr>
            <w:r>
              <w:t xml:space="preserve">0.78</w:t>
            </w:r>
          </w:p>
        </w:tc>
      </w:tr>
      <w:tr>
        <w:tc>
          <w:tcPr/>
          <w:p>
            <w:pPr>
              <w:pStyle w:val="Compact"/>
            </w:pPr>
          </w:p>
        </w:tc>
        <w:tc>
          <w:tcPr/>
          <w:p>
            <w:pPr>
              <w:pStyle w:val="Compact"/>
              <w:jc w:val="left"/>
            </w:pPr>
            <w:r>
              <w:rPr>
                <w:bCs/>
                <w:b/>
              </w:rPr>
              <w:t xml:space="preserve">Goals Met</w:t>
            </w:r>
          </w:p>
        </w:tc>
        <w:tc>
          <w:tcPr/>
          <w:p>
            <w:pPr>
              <w:pStyle w:val="Compact"/>
              <w:jc w:val="left"/>
            </w:pPr>
            <w:r>
              <w:t xml:space="preserve">Mostly for the Community, some for the Research Team</w:t>
            </w:r>
          </w:p>
        </w:tc>
        <w:tc>
          <w:tcPr/>
          <w:p>
            <w:pPr>
              <w:pStyle w:val="Compact"/>
              <w:jc w:val="right"/>
            </w:pPr>
            <w:r>
              <w:t xml:space="preserve">1</w:t>
            </w:r>
          </w:p>
        </w:tc>
        <w:tc>
          <w:tcPr/>
          <w:p>
            <w:pPr>
              <w:pStyle w:val="Compact"/>
              <w:jc w:val="right"/>
            </w:pPr>
            <w:r>
              <w:t xml:space="preserve">1</w:t>
            </w:r>
          </w:p>
        </w:tc>
      </w:tr>
      <w:tr>
        <w:tc>
          <w:tcPr/>
          <w:p>
            <w:pPr>
              <w:pStyle w:val="Compact"/>
            </w:pPr>
          </w:p>
        </w:tc>
        <w:tc>
          <w:tcPr/>
          <w:p>
            <w:pPr>
              <w:pStyle w:val="Compact"/>
            </w:pPr>
          </w:p>
        </w:tc>
        <w:tc>
          <w:tcPr/>
          <w:p>
            <w:pPr>
              <w:pStyle w:val="Compact"/>
              <w:jc w:val="left"/>
            </w:pPr>
            <w:r>
              <w:t xml:space="preserve">Entirely for the Community</w:t>
            </w:r>
          </w:p>
        </w:tc>
        <w:tc>
          <w:tcPr/>
          <w:p>
            <w:pPr>
              <w:pStyle w:val="Compact"/>
              <w:jc w:val="right"/>
            </w:pPr>
            <w:r>
              <w:t xml:space="preserve">0.8</w:t>
            </w:r>
          </w:p>
        </w:tc>
        <w:tc>
          <w:tcPr/>
          <w:p>
            <w:pPr>
              <w:pStyle w:val="Compact"/>
              <w:jc w:val="right"/>
            </w:pPr>
            <w:r>
              <w:t xml:space="preserve">0.95</w:t>
            </w:r>
          </w:p>
        </w:tc>
      </w:tr>
      <w:tr>
        <w:tc>
          <w:tcPr/>
          <w:p>
            <w:pPr>
              <w:pStyle w:val="Compact"/>
            </w:pPr>
          </w:p>
        </w:tc>
        <w:tc>
          <w:tcPr/>
          <w:p>
            <w:pPr>
              <w:pStyle w:val="Compact"/>
            </w:pPr>
          </w:p>
        </w:tc>
        <w:tc>
          <w:tcPr/>
          <w:p>
            <w:pPr>
              <w:pStyle w:val="Compact"/>
              <w:jc w:val="left"/>
            </w:pPr>
            <w:r>
              <w:t xml:space="preserve">Equally for the Research Team and the Community</w:t>
            </w:r>
          </w:p>
        </w:tc>
        <w:tc>
          <w:tcPr/>
          <w:p>
            <w:pPr>
              <w:pStyle w:val="Compact"/>
              <w:jc w:val="right"/>
            </w:pPr>
            <w:r>
              <w:t xml:space="preserve">0.6</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Mostly for the Research Team, some for the Community</w:t>
            </w:r>
          </w:p>
        </w:tc>
        <w:tc>
          <w:tcPr/>
          <w:p>
            <w:pPr>
              <w:pStyle w:val="Compact"/>
              <w:jc w:val="right"/>
            </w:pPr>
            <w:r>
              <w:t xml:space="preserve">0.4</w:t>
            </w:r>
          </w:p>
        </w:tc>
        <w:tc>
          <w:tcPr/>
          <w:p>
            <w:pPr>
              <w:pStyle w:val="Compact"/>
              <w:jc w:val="right"/>
            </w:pPr>
            <w:r>
              <w:t xml:space="preserve">0.84</w:t>
            </w:r>
          </w:p>
        </w:tc>
      </w:tr>
      <w:tr>
        <w:tc>
          <w:tcPr/>
          <w:p>
            <w:pPr>
              <w:pStyle w:val="Compact"/>
            </w:pPr>
          </w:p>
        </w:tc>
        <w:tc>
          <w:tcPr/>
          <w:p>
            <w:pPr>
              <w:pStyle w:val="Compact"/>
            </w:pPr>
          </w:p>
        </w:tc>
        <w:tc>
          <w:tcPr/>
          <w:p>
            <w:pPr>
              <w:pStyle w:val="Compact"/>
              <w:jc w:val="left"/>
            </w:pPr>
            <w:r>
              <w:t xml:space="preserve">Entirely for the Research Team</w:t>
            </w:r>
          </w:p>
        </w:tc>
        <w:tc>
          <w:tcPr/>
          <w:p>
            <w:pPr>
              <w:pStyle w:val="Compact"/>
              <w:jc w:val="right"/>
            </w:pPr>
            <w:r>
              <w:t xml:space="preserve">0.2</w:t>
            </w:r>
          </w:p>
        </w:tc>
        <w:tc>
          <w:tcPr/>
          <w:p>
            <w:pPr>
              <w:pStyle w:val="Compact"/>
              <w:jc w:val="right"/>
            </w:pPr>
            <w:r>
              <w:t xml:space="preserve">0.78</w:t>
            </w:r>
          </w:p>
        </w:tc>
      </w:tr>
      <w:tr>
        <w:tc>
          <w:tcPr/>
          <w:p>
            <w:pPr>
              <w:pStyle w:val="Compact"/>
            </w:pPr>
          </w:p>
        </w:tc>
        <w:tc>
          <w:tcPr/>
          <w:p>
            <w:pPr>
              <w:pStyle w:val="Compact"/>
              <w:jc w:val="left"/>
            </w:pPr>
            <w:r>
              <w:rPr>
                <w:bCs/>
                <w:b/>
              </w:rPr>
              <w:t xml:space="preserve">Outputs Delivered</w:t>
            </w:r>
          </w:p>
        </w:tc>
        <w:tc>
          <w:tcPr/>
          <w:p>
            <w:pPr>
              <w:pStyle w:val="Compact"/>
              <w:jc w:val="left"/>
            </w:pPr>
            <w:r>
              <w:t xml:space="preserve">Community-Based Outputs that Reach Broader Community Members and Institutions</w:t>
            </w:r>
          </w:p>
        </w:tc>
        <w:tc>
          <w:tcPr/>
          <w:p>
            <w:pPr>
              <w:pStyle w:val="Compact"/>
              <w:jc w:val="right"/>
            </w:pPr>
            <w:r>
              <w:t xml:space="preserve">1</w:t>
            </w:r>
          </w:p>
        </w:tc>
        <w:tc>
          <w:tcPr/>
          <w:p>
            <w:pPr>
              <w:pStyle w:val="Compact"/>
              <w:jc w:val="right"/>
            </w:pPr>
            <w:r>
              <w:t xml:space="preserve">1</w:t>
            </w:r>
          </w:p>
        </w:tc>
      </w:tr>
      <w:tr>
        <w:tc>
          <w:tcPr/>
          <w:p>
            <w:pPr>
              <w:pStyle w:val="Compact"/>
            </w:pPr>
          </w:p>
        </w:tc>
        <w:tc>
          <w:tcPr/>
          <w:p>
            <w:pPr>
              <w:pStyle w:val="Compact"/>
            </w:pPr>
          </w:p>
        </w:tc>
        <w:tc>
          <w:tcPr/>
          <w:p>
            <w:pPr>
              <w:pStyle w:val="Compact"/>
              <w:jc w:val="left"/>
            </w:pPr>
            <w:r>
              <w:t xml:space="preserve">Community-Based Outputs that Benefit Direct Community Partners</w:t>
            </w:r>
          </w:p>
        </w:tc>
        <w:tc>
          <w:tcPr/>
          <w:p>
            <w:pPr>
              <w:pStyle w:val="Compact"/>
              <w:jc w:val="right"/>
            </w:pPr>
            <w:r>
              <w:t xml:space="preserve">0.8</w:t>
            </w:r>
          </w:p>
        </w:tc>
        <w:tc>
          <w:tcPr/>
          <w:p>
            <w:pPr>
              <w:pStyle w:val="Compact"/>
              <w:jc w:val="right"/>
            </w:pPr>
            <w:r>
              <w:t xml:space="preserve">0.95</w:t>
            </w:r>
          </w:p>
        </w:tc>
      </w:tr>
      <w:tr>
        <w:tc>
          <w:tcPr/>
          <w:p>
            <w:pPr>
              <w:pStyle w:val="Compact"/>
            </w:pPr>
          </w:p>
        </w:tc>
        <w:tc>
          <w:tcPr/>
          <w:p>
            <w:pPr>
              <w:pStyle w:val="Compact"/>
            </w:pPr>
          </w:p>
        </w:tc>
        <w:tc>
          <w:tcPr/>
          <w:p>
            <w:pPr>
              <w:pStyle w:val="Compact"/>
              <w:jc w:val="left"/>
            </w:pPr>
            <w:r>
              <w:t xml:space="preserve">Academic and/or Community-Based Outputs in a Range of Venues</w:t>
            </w:r>
          </w:p>
        </w:tc>
        <w:tc>
          <w:tcPr/>
          <w:p>
            <w:pPr>
              <w:pStyle w:val="Compact"/>
              <w:jc w:val="right"/>
            </w:pPr>
            <w:r>
              <w:t xml:space="preserve">0.6</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Academic Outputs that Advance the Field</w:t>
            </w:r>
          </w:p>
        </w:tc>
        <w:tc>
          <w:tcPr/>
          <w:p>
            <w:pPr>
              <w:pStyle w:val="Compact"/>
              <w:jc w:val="right"/>
            </w:pPr>
            <w:r>
              <w:t xml:space="preserve">0.4</w:t>
            </w:r>
          </w:p>
        </w:tc>
        <w:tc>
          <w:tcPr/>
          <w:p>
            <w:pPr>
              <w:pStyle w:val="Compact"/>
              <w:jc w:val="right"/>
            </w:pPr>
            <w:r>
              <w:t xml:space="preserve">0.84</w:t>
            </w:r>
          </w:p>
        </w:tc>
      </w:tr>
      <w:tr>
        <w:tc>
          <w:tcPr/>
          <w:p>
            <w:pPr>
              <w:pStyle w:val="Compact"/>
            </w:pPr>
          </w:p>
        </w:tc>
        <w:tc>
          <w:tcPr/>
          <w:p>
            <w:pPr>
              <w:pStyle w:val="Compact"/>
            </w:pPr>
          </w:p>
        </w:tc>
        <w:tc>
          <w:tcPr/>
          <w:p>
            <w:pPr>
              <w:pStyle w:val="Compact"/>
              <w:jc w:val="left"/>
            </w:pPr>
            <w:r>
              <w:t xml:space="preserve">Academic Outputs that Benefit the Research Team</w:t>
            </w:r>
          </w:p>
        </w:tc>
        <w:tc>
          <w:tcPr/>
          <w:p>
            <w:pPr>
              <w:pStyle w:val="Compact"/>
              <w:jc w:val="right"/>
            </w:pPr>
            <w:r>
              <w:t xml:space="preserve">0.2</w:t>
            </w:r>
          </w:p>
        </w:tc>
        <w:tc>
          <w:tcPr/>
          <w:p>
            <w:pPr>
              <w:pStyle w:val="Compact"/>
              <w:jc w:val="right"/>
            </w:pPr>
            <w:r>
              <w:t xml:space="preserve">0.78</w:t>
            </w:r>
          </w:p>
        </w:tc>
      </w:tr>
      <w:tr>
        <w:tc>
          <w:tcPr/>
          <w:p>
            <w:pPr>
              <w:pStyle w:val="Compact"/>
            </w:pPr>
          </w:p>
        </w:tc>
        <w:tc>
          <w:tcPr/>
          <w:p>
            <w:pPr>
              <w:pStyle w:val="Compact"/>
              <w:jc w:val="left"/>
            </w:pPr>
            <w:r>
              <w:rPr>
                <w:bCs/>
                <w:b/>
              </w:rPr>
              <w:t xml:space="preserve">Sustainability</w:t>
            </w:r>
          </w:p>
        </w:tc>
        <w:tc>
          <w:tcPr/>
          <w:p>
            <w:pPr>
              <w:pStyle w:val="Compact"/>
              <w:jc w:val="left"/>
            </w:pPr>
            <w:r>
              <w:t xml:space="preserve">Concrete strategies for further engagement</w:t>
            </w:r>
          </w:p>
        </w:tc>
        <w:tc>
          <w:tcPr/>
          <w:p>
            <w:pPr>
              <w:pStyle w:val="Compact"/>
              <w:jc w:val="right"/>
            </w:pPr>
            <w:r>
              <w:t xml:space="preserve">1</w:t>
            </w:r>
          </w:p>
        </w:tc>
        <w:tc>
          <w:tcPr/>
          <w:p>
            <w:pPr>
              <w:pStyle w:val="Compact"/>
              <w:jc w:val="right"/>
            </w:pPr>
            <w:r>
              <w:t xml:space="preserve">1</w:t>
            </w:r>
          </w:p>
        </w:tc>
      </w:tr>
      <w:tr>
        <w:tc>
          <w:tcPr/>
          <w:p>
            <w:pPr>
              <w:pStyle w:val="Compact"/>
            </w:pPr>
          </w:p>
        </w:tc>
        <w:tc>
          <w:tcPr/>
          <w:p>
            <w:pPr>
              <w:pStyle w:val="Compact"/>
            </w:pPr>
          </w:p>
        </w:tc>
        <w:tc>
          <w:tcPr/>
          <w:p>
            <w:pPr>
              <w:pStyle w:val="Compact"/>
              <w:jc w:val="left"/>
            </w:pPr>
            <w:r>
              <w:t xml:space="preserve">Available resources</w:t>
            </w:r>
          </w:p>
        </w:tc>
        <w:tc>
          <w:tcPr/>
          <w:p>
            <w:pPr>
              <w:pStyle w:val="Compact"/>
              <w:jc w:val="right"/>
            </w:pPr>
            <w:r>
              <w:t xml:space="preserve">0.8</w:t>
            </w:r>
          </w:p>
        </w:tc>
        <w:tc>
          <w:tcPr/>
          <w:p>
            <w:pPr>
              <w:pStyle w:val="Compact"/>
              <w:jc w:val="right"/>
            </w:pPr>
            <w:r>
              <w:t xml:space="preserve">0.95</w:t>
            </w:r>
          </w:p>
        </w:tc>
      </w:tr>
      <w:tr>
        <w:tc>
          <w:tcPr/>
          <w:p>
            <w:pPr>
              <w:pStyle w:val="Compact"/>
            </w:pPr>
          </w:p>
        </w:tc>
        <w:tc>
          <w:tcPr/>
          <w:p>
            <w:pPr>
              <w:pStyle w:val="Compact"/>
            </w:pPr>
          </w:p>
        </w:tc>
        <w:tc>
          <w:tcPr/>
          <w:p>
            <w:pPr>
              <w:pStyle w:val="Compact"/>
              <w:jc w:val="left"/>
            </w:pPr>
            <w:r>
              <w:t xml:space="preserve">Trust and respect in partnership</w:t>
            </w:r>
          </w:p>
        </w:tc>
        <w:tc>
          <w:tcPr/>
          <w:p>
            <w:pPr>
              <w:pStyle w:val="Compact"/>
              <w:jc w:val="right"/>
            </w:pPr>
            <w:r>
              <w:t xml:space="preserve">0.6</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Ongoing shared vision and common goals</w:t>
            </w:r>
          </w:p>
        </w:tc>
        <w:tc>
          <w:tcPr/>
          <w:p>
            <w:pPr>
              <w:pStyle w:val="Compact"/>
              <w:jc w:val="right"/>
            </w:pPr>
            <w:r>
              <w:t xml:space="preserve">0.4</w:t>
            </w:r>
          </w:p>
        </w:tc>
        <w:tc>
          <w:tcPr/>
          <w:p>
            <w:pPr>
              <w:pStyle w:val="Compact"/>
              <w:jc w:val="right"/>
            </w:pPr>
            <w:r>
              <w:t xml:space="preserve">0.84</w:t>
            </w:r>
          </w:p>
        </w:tc>
      </w:tr>
      <w:tr>
        <w:tc>
          <w:tcPr/>
          <w:p>
            <w:pPr>
              <w:pStyle w:val="Compact"/>
            </w:pPr>
          </w:p>
        </w:tc>
        <w:tc>
          <w:tcPr/>
          <w:p>
            <w:pPr>
              <w:pStyle w:val="Compact"/>
            </w:pPr>
          </w:p>
        </w:tc>
        <w:tc>
          <w:tcPr/>
          <w:p>
            <w:pPr>
              <w:pStyle w:val="Compact"/>
              <w:jc w:val="left"/>
            </w:pPr>
            <w:r>
              <w:t xml:space="preserve">Infrastructures for further engagement</w:t>
            </w:r>
          </w:p>
        </w:tc>
        <w:tc>
          <w:tcPr/>
          <w:p>
            <w:pPr>
              <w:pStyle w:val="Compact"/>
              <w:jc w:val="right"/>
            </w:pPr>
            <w:r>
              <w:t xml:space="preserve">0.2</w:t>
            </w:r>
          </w:p>
        </w:tc>
        <w:tc>
          <w:tcPr/>
          <w:p>
            <w:pPr>
              <w:pStyle w:val="Compact"/>
              <w:jc w:val="right"/>
            </w:pPr>
            <w:r>
              <w:t xml:space="preserve">0.78</w:t>
            </w:r>
          </w:p>
        </w:tc>
      </w:tr>
    </w:tbl>
    <w:bookmarkEnd w:id="92"/>
    <w:bookmarkEnd w:id="93"/>
    <w:bookmarkEnd w:id="94"/>
    <w:bookmarkStart w:id="95" w:name="appendix-2-contributors-and-roles"/>
    <w:p>
      <w:pPr>
        <w:pStyle w:val="Heading1"/>
      </w:pPr>
      <w:r>
        <w:t xml:space="preserve">6. Appendix 2: Contributors and Roles</w:t>
      </w:r>
    </w:p>
    <w:tbl>
      <w:tblPr>
        <w:tblStyle w:val="Table"/>
        <w:tblW w:type="pct" w:w="5000"/>
        <w:tblLook w:firstRow="1" w:lastRow="0" w:firstColumn="0" w:lastColumn="0" w:noHBand="0" w:noVBand="0" w:val="0020"/>
        <w:jc w:val="start"/>
      </w:tblPr>
      <w:tblGrid>
        <w:gridCol w:w="4106"/>
        <w:gridCol w:w="2346"/>
        <w:gridCol w:w="1466"/>
      </w:tblGrid>
      <w:tr>
        <w:trPr>
          <w:tblHeader w:val="true"/>
        </w:trPr>
        <w:tc>
          <w:tcPr/>
          <w:p>
            <w:pPr>
              <w:pStyle w:val="Compact"/>
              <w:jc w:val="left"/>
            </w:pPr>
            <w:r>
              <w:rPr>
                <w:iCs/>
                <w:i/>
                <w:bCs/>
                <w:b/>
              </w:rPr>
              <w:t xml:space="preserve">Contributor</w:t>
            </w:r>
          </w:p>
        </w:tc>
        <w:tc>
          <w:tcPr/>
          <w:p>
            <w:pPr>
              <w:pStyle w:val="Compact"/>
              <w:jc w:val="left"/>
            </w:pPr>
            <w:r>
              <w:rPr>
                <w:iCs/>
                <w:i/>
                <w:bCs/>
                <w:b/>
              </w:rPr>
              <w:t xml:space="preserve">Roles</w:t>
            </w:r>
          </w:p>
        </w:tc>
        <w:tc>
          <w:tcPr/>
          <w:p>
            <w:pPr>
              <w:pStyle w:val="Compact"/>
            </w:pPr>
          </w:p>
        </w:tc>
      </w:tr>
      <w:tr>
        <w:tc>
          <w:tcPr/>
          <w:p>
            <w:pPr>
              <w:pStyle w:val="Compact"/>
              <w:jc w:val="left"/>
            </w:pPr>
            <w:r>
              <w:rPr>
                <w:bCs/>
                <w:b/>
              </w:rPr>
              <w:t xml:space="preserve">Jeremy F Price, PhD</w:t>
            </w:r>
          </w:p>
        </w:tc>
        <w:tc>
          <w:tcPr/>
          <w:p>
            <w:pPr>
              <w:pStyle w:val="Compact"/>
              <w:jc w:val="left"/>
            </w:pPr>
            <w:r>
              <w:t xml:space="preserve">Conceptualization</w:t>
            </w:r>
          </w:p>
        </w:tc>
        <w:tc>
          <w:tcPr/>
          <w:p>
            <w:pPr>
              <w:pStyle w:val="Compact"/>
              <w:jc w:val="center"/>
            </w:pPr>
            <w:r>
              <w:rPr>
                <w:iCs/>
                <w:i/>
              </w:rPr>
              <w:t xml:space="preserve">Lead</w:t>
            </w:r>
          </w:p>
        </w:tc>
      </w:tr>
      <w:tr>
        <w:tc>
          <w:tcPr/>
          <w:p>
            <w:pPr>
              <w:pStyle w:val="Compact"/>
            </w:pPr>
          </w:p>
        </w:tc>
        <w:tc>
          <w:tcPr/>
          <w:p>
            <w:pPr>
              <w:pStyle w:val="Compact"/>
              <w:jc w:val="left"/>
            </w:pPr>
            <w:r>
              <w:t xml:space="preserve">Methodology</w:t>
            </w:r>
          </w:p>
        </w:tc>
        <w:tc>
          <w:tcPr/>
          <w:p>
            <w:pPr>
              <w:pStyle w:val="Compact"/>
              <w:jc w:val="center"/>
            </w:pPr>
            <w:r>
              <w:rPr>
                <w:iCs/>
                <w:i/>
              </w:rPr>
              <w:t xml:space="preserve">Lead</w:t>
            </w:r>
          </w:p>
        </w:tc>
      </w:tr>
      <w:tr>
        <w:tc>
          <w:tcPr/>
          <w:p>
            <w:pPr>
              <w:pStyle w:val="Compact"/>
            </w:pPr>
          </w:p>
        </w:tc>
        <w:tc>
          <w:tcPr/>
          <w:p>
            <w:pPr>
              <w:pStyle w:val="Compact"/>
              <w:jc w:val="left"/>
            </w:pPr>
            <w:r>
              <w:t xml:space="preserve">Project Administration</w:t>
            </w:r>
          </w:p>
        </w:tc>
        <w:tc>
          <w:tcPr/>
          <w:p>
            <w:pPr>
              <w:pStyle w:val="Compact"/>
              <w:jc w:val="center"/>
            </w:pPr>
            <w:r>
              <w:rPr>
                <w:iCs/>
                <w:i/>
              </w:rPr>
              <w:t xml:space="preserve">Lead</w:t>
            </w:r>
          </w:p>
        </w:tc>
      </w:tr>
      <w:tr>
        <w:tc>
          <w:tcPr/>
          <w:p>
            <w:pPr>
              <w:pStyle w:val="Compact"/>
            </w:pPr>
          </w:p>
        </w:tc>
        <w:tc>
          <w:tcPr/>
          <w:p>
            <w:pPr>
              <w:pStyle w:val="Compact"/>
              <w:jc w:val="left"/>
            </w:pPr>
            <w:r>
              <w:t xml:space="preserve">Funding Acquisition</w:t>
            </w:r>
          </w:p>
        </w:tc>
        <w:tc>
          <w:tcPr/>
          <w:p>
            <w:pPr>
              <w:pStyle w:val="Compact"/>
              <w:jc w:val="center"/>
            </w:pPr>
            <w:r>
              <w:rPr>
                <w:iCs/>
                <w:i/>
              </w:rPr>
              <w:t xml:space="preserve">Lead</w:t>
            </w:r>
          </w:p>
        </w:tc>
      </w:tr>
      <w:tr>
        <w:tc>
          <w:tcPr/>
          <w:p>
            <w:pPr>
              <w:pStyle w:val="Compact"/>
            </w:pPr>
          </w:p>
        </w:tc>
        <w:tc>
          <w:tcPr/>
          <w:p>
            <w:pPr>
              <w:pStyle w:val="Compact"/>
              <w:jc w:val="left"/>
            </w:pPr>
            <w:r>
              <w:t xml:space="preserve">Data Analysis</w:t>
            </w:r>
          </w:p>
        </w:tc>
        <w:tc>
          <w:tcPr/>
          <w:p>
            <w:pPr>
              <w:pStyle w:val="Compact"/>
              <w:jc w:val="center"/>
            </w:pPr>
            <w:r>
              <w:rPr>
                <w:iCs/>
                <w:i/>
              </w:rPr>
              <w:t xml:space="preserve">Lead</w:t>
            </w:r>
          </w:p>
        </w:tc>
      </w:tr>
      <w:tr>
        <w:tc>
          <w:tcPr/>
          <w:p>
            <w:pPr>
              <w:pStyle w:val="Compact"/>
            </w:pPr>
          </w:p>
        </w:tc>
        <w:tc>
          <w:tcPr/>
          <w:p>
            <w:pPr>
              <w:pStyle w:val="Compact"/>
              <w:jc w:val="left"/>
            </w:pPr>
            <w:r>
              <w:t xml:space="preserve">Software</w:t>
            </w:r>
          </w:p>
        </w:tc>
        <w:tc>
          <w:tcPr/>
          <w:p>
            <w:pPr>
              <w:pStyle w:val="Compact"/>
              <w:jc w:val="center"/>
            </w:pPr>
            <w:r>
              <w:rPr>
                <w:iCs/>
                <w:i/>
              </w:rPr>
              <w:t xml:space="preserve">Equal</w:t>
            </w:r>
          </w:p>
        </w:tc>
      </w:tr>
      <w:tr>
        <w:tc>
          <w:tcPr/>
          <w:p>
            <w:pPr>
              <w:pStyle w:val="Compact"/>
            </w:pPr>
          </w:p>
        </w:tc>
        <w:tc>
          <w:tcPr/>
          <w:p>
            <w:pPr>
              <w:pStyle w:val="Compact"/>
              <w:jc w:val="left"/>
            </w:pPr>
            <w:r>
              <w:t xml:space="preserve">Supervision</w:t>
            </w:r>
          </w:p>
        </w:tc>
        <w:tc>
          <w:tcPr/>
          <w:p>
            <w:pPr>
              <w:pStyle w:val="Compact"/>
              <w:jc w:val="center"/>
            </w:pPr>
            <w:r>
              <w:rPr>
                <w:iCs/>
                <w:i/>
              </w:rPr>
              <w:t xml:space="preserve">Lead</w:t>
            </w:r>
          </w:p>
        </w:tc>
      </w:tr>
      <w:tr>
        <w:tc>
          <w:tcPr/>
          <w:p>
            <w:pPr>
              <w:pStyle w:val="Compact"/>
            </w:pPr>
          </w:p>
        </w:tc>
        <w:tc>
          <w:tcPr/>
          <w:p>
            <w:pPr>
              <w:pStyle w:val="Compact"/>
              <w:jc w:val="left"/>
            </w:pPr>
            <w:r>
              <w:t xml:space="preserve">Visualization</w:t>
            </w:r>
          </w:p>
        </w:tc>
        <w:tc>
          <w:tcPr/>
          <w:p>
            <w:pPr>
              <w:pStyle w:val="Compact"/>
              <w:jc w:val="center"/>
            </w:pPr>
            <w:r>
              <w:rPr>
                <w:iCs/>
                <w:i/>
              </w:rPr>
              <w:t xml:space="preserve">Lead</w:t>
            </w:r>
          </w:p>
        </w:tc>
      </w:tr>
      <w:tr>
        <w:tc>
          <w:tcPr/>
          <w:p>
            <w:pPr>
              <w:pStyle w:val="Compact"/>
            </w:pPr>
          </w:p>
        </w:tc>
        <w:tc>
          <w:tcPr/>
          <w:p>
            <w:pPr>
              <w:pStyle w:val="Compact"/>
              <w:jc w:val="left"/>
            </w:pPr>
            <w:r>
              <w:t xml:space="preserve">Writing-Original Draft</w:t>
            </w:r>
          </w:p>
        </w:tc>
        <w:tc>
          <w:tcPr/>
          <w:p>
            <w:pPr>
              <w:pStyle w:val="Compact"/>
              <w:jc w:val="center"/>
            </w:pPr>
            <w:r>
              <w:rPr>
                <w:iCs/>
                <w:i/>
              </w:rPr>
              <w:t xml:space="preserve">Lead</w:t>
            </w:r>
          </w:p>
        </w:tc>
      </w:tr>
      <w:tr>
        <w:tc>
          <w:tcPr/>
          <w:p>
            <w:pPr>
              <w:pStyle w:val="Compact"/>
            </w:pPr>
          </w:p>
        </w:tc>
        <w:tc>
          <w:tcPr/>
          <w:p>
            <w:pPr>
              <w:pStyle w:val="Compact"/>
              <w:jc w:val="left"/>
            </w:pPr>
            <w:r>
              <w:t xml:space="preserve">Writing-Editing and Revising</w:t>
            </w:r>
          </w:p>
        </w:tc>
        <w:tc>
          <w:tcPr/>
          <w:p>
            <w:pPr>
              <w:pStyle w:val="Compact"/>
              <w:jc w:val="center"/>
            </w:pPr>
            <w:r>
              <w:rPr>
                <w:iCs/>
                <w:i/>
              </w:rPr>
              <w:t xml:space="preserve">Lead</w:t>
            </w:r>
          </w:p>
        </w:tc>
      </w:tr>
      <w:tr>
        <w:tc>
          <w:tcPr/>
          <w:p>
            <w:pPr>
              <w:pStyle w:val="Compact"/>
            </w:pPr>
          </w:p>
        </w:tc>
        <w:tc>
          <w:tcPr/>
          <w:p>
            <w:pPr>
              <w:pStyle w:val="Compact"/>
            </w:pPr>
          </w:p>
        </w:tc>
        <w:tc>
          <w:tcPr/>
          <w:p>
            <w:pPr>
              <w:pStyle w:val="Compact"/>
            </w:pPr>
          </w:p>
        </w:tc>
      </w:tr>
      <w:tr>
        <w:tc>
          <w:tcPr/>
          <w:p>
            <w:pPr>
              <w:pStyle w:val="Compact"/>
              <w:jc w:val="left"/>
            </w:pPr>
            <w:r>
              <w:rPr>
                <w:bCs/>
                <w:b/>
              </w:rPr>
              <w:t xml:space="preserve">Kristin Norris, PhD</w:t>
            </w:r>
          </w:p>
        </w:tc>
        <w:tc>
          <w:tcPr/>
          <w:p>
            <w:pPr>
              <w:pStyle w:val="Compact"/>
              <w:jc w:val="left"/>
            </w:pPr>
            <w:r>
              <w:t xml:space="preserve">Methodology</w:t>
            </w:r>
          </w:p>
        </w:tc>
        <w:tc>
          <w:tcPr/>
          <w:p>
            <w:pPr>
              <w:pStyle w:val="Compact"/>
              <w:jc w:val="center"/>
            </w:pPr>
            <w:r>
              <w:rPr>
                <w:iCs/>
                <w:i/>
              </w:rPr>
              <w:t xml:space="preserve">Supporting</w:t>
            </w:r>
          </w:p>
        </w:tc>
      </w:tr>
      <w:tr>
        <w:tc>
          <w:tcPr/>
          <w:p>
            <w:pPr>
              <w:pStyle w:val="Compact"/>
            </w:pPr>
          </w:p>
        </w:tc>
        <w:tc>
          <w:tcPr/>
          <w:p>
            <w:pPr>
              <w:pStyle w:val="Compact"/>
              <w:jc w:val="left"/>
            </w:pPr>
            <w:r>
              <w:t xml:space="preserve">Project Administration</w:t>
            </w:r>
          </w:p>
        </w:tc>
        <w:tc>
          <w:tcPr/>
          <w:p>
            <w:pPr>
              <w:pStyle w:val="Compact"/>
              <w:jc w:val="center"/>
            </w:pPr>
            <w:r>
              <w:rPr>
                <w:iCs/>
                <w:i/>
              </w:rPr>
              <w:t xml:space="preserve">Supporting</w:t>
            </w:r>
          </w:p>
        </w:tc>
      </w:tr>
      <w:tr>
        <w:tc>
          <w:tcPr/>
          <w:p>
            <w:pPr>
              <w:pStyle w:val="Compact"/>
            </w:pPr>
          </w:p>
        </w:tc>
        <w:tc>
          <w:tcPr/>
          <w:p>
            <w:pPr>
              <w:pStyle w:val="Compact"/>
              <w:jc w:val="left"/>
            </w:pPr>
            <w:r>
              <w:t xml:space="preserve">Data Analysis</w:t>
            </w:r>
          </w:p>
        </w:tc>
        <w:tc>
          <w:tcPr/>
          <w:p>
            <w:pPr>
              <w:pStyle w:val="Compact"/>
              <w:jc w:val="center"/>
            </w:pPr>
            <w:r>
              <w:rPr>
                <w:iCs/>
                <w:i/>
              </w:rPr>
              <w:t xml:space="preserve">Supporting</w:t>
            </w:r>
          </w:p>
        </w:tc>
      </w:tr>
      <w:tr>
        <w:tc>
          <w:tcPr/>
          <w:p>
            <w:pPr>
              <w:pStyle w:val="Compact"/>
            </w:pPr>
          </w:p>
        </w:tc>
        <w:tc>
          <w:tcPr/>
          <w:p>
            <w:pPr>
              <w:pStyle w:val="Compact"/>
              <w:jc w:val="left"/>
            </w:pPr>
            <w:r>
              <w:t xml:space="preserve">Writing-Editing and Revising</w:t>
            </w:r>
          </w:p>
        </w:tc>
        <w:tc>
          <w:tcPr/>
          <w:p>
            <w:pPr>
              <w:pStyle w:val="Compact"/>
              <w:jc w:val="center"/>
            </w:pPr>
            <w:r>
              <w:rPr>
                <w:iCs/>
                <w:i/>
              </w:rPr>
              <w:t xml:space="preserve">Supporting</w:t>
            </w:r>
          </w:p>
        </w:tc>
      </w:tr>
      <w:tr>
        <w:tc>
          <w:tcPr/>
          <w:p>
            <w:pPr>
              <w:pStyle w:val="Compact"/>
            </w:pPr>
          </w:p>
        </w:tc>
        <w:tc>
          <w:tcPr/>
          <w:p>
            <w:pPr>
              <w:pStyle w:val="Compact"/>
            </w:pPr>
          </w:p>
        </w:tc>
        <w:tc>
          <w:tcPr/>
          <w:p>
            <w:pPr>
              <w:pStyle w:val="Compact"/>
            </w:pPr>
          </w:p>
        </w:tc>
      </w:tr>
      <w:tr>
        <w:tc>
          <w:tcPr/>
          <w:p>
            <w:pPr>
              <w:pStyle w:val="Compact"/>
              <w:jc w:val="left"/>
            </w:pPr>
            <w:r>
              <w:rPr>
                <w:bCs/>
                <w:b/>
              </w:rPr>
              <w:t xml:space="preserve">Mary Price, PhD</w:t>
            </w:r>
          </w:p>
        </w:tc>
        <w:tc>
          <w:tcPr/>
          <w:p>
            <w:pPr>
              <w:pStyle w:val="Compact"/>
              <w:jc w:val="left"/>
            </w:pPr>
            <w:r>
              <w:t xml:space="preserve">Methodology</w:t>
            </w:r>
          </w:p>
        </w:tc>
        <w:tc>
          <w:tcPr/>
          <w:p>
            <w:pPr>
              <w:pStyle w:val="Compact"/>
              <w:jc w:val="center"/>
            </w:pPr>
            <w:r>
              <w:rPr>
                <w:iCs/>
                <w:i/>
              </w:rPr>
              <w:t xml:space="preserve">Supporting</w:t>
            </w:r>
          </w:p>
        </w:tc>
      </w:tr>
      <w:tr>
        <w:tc>
          <w:tcPr/>
          <w:p>
            <w:pPr>
              <w:pStyle w:val="Compact"/>
            </w:pPr>
          </w:p>
        </w:tc>
        <w:tc>
          <w:tcPr/>
          <w:p>
            <w:pPr>
              <w:pStyle w:val="Compact"/>
              <w:jc w:val="left"/>
            </w:pPr>
            <w:r>
              <w:t xml:space="preserve">Data Analysis</w:t>
            </w:r>
          </w:p>
        </w:tc>
        <w:tc>
          <w:tcPr/>
          <w:p>
            <w:pPr>
              <w:pStyle w:val="Compact"/>
              <w:jc w:val="center"/>
            </w:pPr>
            <w:r>
              <w:rPr>
                <w:iCs/>
                <w:i/>
              </w:rPr>
              <w:t xml:space="preserve">Supporting</w:t>
            </w:r>
          </w:p>
        </w:tc>
      </w:tr>
      <w:tr>
        <w:tc>
          <w:tcPr/>
          <w:p>
            <w:pPr>
              <w:pStyle w:val="Compact"/>
            </w:pPr>
          </w:p>
        </w:tc>
        <w:tc>
          <w:tcPr/>
          <w:p>
            <w:pPr>
              <w:pStyle w:val="Compact"/>
              <w:jc w:val="left"/>
            </w:pPr>
            <w:r>
              <w:t xml:space="preserve">Writing-Editing and Revising</w:t>
            </w:r>
          </w:p>
        </w:tc>
        <w:tc>
          <w:tcPr/>
          <w:p>
            <w:pPr>
              <w:pStyle w:val="Compact"/>
              <w:jc w:val="center"/>
            </w:pPr>
            <w:r>
              <w:rPr>
                <w:iCs/>
                <w:i/>
              </w:rPr>
              <w:t xml:space="preserve">Supporting</w:t>
            </w:r>
          </w:p>
        </w:tc>
      </w:tr>
      <w:tr>
        <w:tc>
          <w:tcPr/>
          <w:p>
            <w:pPr>
              <w:pStyle w:val="Compact"/>
            </w:pPr>
          </w:p>
        </w:tc>
        <w:tc>
          <w:tcPr/>
          <w:p>
            <w:pPr>
              <w:pStyle w:val="Compact"/>
            </w:pPr>
          </w:p>
        </w:tc>
        <w:tc>
          <w:tcPr/>
          <w:p>
            <w:pPr>
              <w:pStyle w:val="Compact"/>
            </w:pPr>
          </w:p>
        </w:tc>
      </w:tr>
      <w:tr>
        <w:tc>
          <w:tcPr/>
          <w:p>
            <w:pPr>
              <w:pStyle w:val="Compact"/>
              <w:jc w:val="left"/>
            </w:pPr>
            <w:r>
              <w:rPr>
                <w:bCs/>
                <w:b/>
              </w:rPr>
              <w:t xml:space="preserve">Neha Anil Cheda</w:t>
            </w:r>
          </w:p>
        </w:tc>
        <w:tc>
          <w:tcPr/>
          <w:p>
            <w:pPr>
              <w:pStyle w:val="Compact"/>
              <w:jc w:val="left"/>
            </w:pPr>
            <w:r>
              <w:t xml:space="preserve">Software</w:t>
            </w:r>
          </w:p>
        </w:tc>
        <w:tc>
          <w:tcPr/>
          <w:p>
            <w:pPr>
              <w:pStyle w:val="Compact"/>
              <w:jc w:val="center"/>
            </w:pPr>
            <w:r>
              <w:rPr>
                <w:iCs/>
                <w:i/>
              </w:rPr>
              <w:t xml:space="preserve">Equal</w:t>
            </w:r>
          </w:p>
        </w:tc>
      </w:tr>
      <w:tr>
        <w:tc>
          <w:tcPr/>
          <w:p>
            <w:pPr>
              <w:pStyle w:val="Compact"/>
            </w:pPr>
          </w:p>
        </w:tc>
        <w:tc>
          <w:tcPr/>
          <w:p>
            <w:pPr>
              <w:pStyle w:val="Compact"/>
              <w:jc w:val="left"/>
            </w:pPr>
            <w:r>
              <w:t xml:space="preserve">Visualization</w:t>
            </w:r>
          </w:p>
        </w:tc>
        <w:tc>
          <w:tcPr/>
          <w:p>
            <w:pPr>
              <w:pStyle w:val="Compact"/>
              <w:jc w:val="center"/>
            </w:pPr>
            <w:r>
              <w:rPr>
                <w:iCs/>
                <w:i/>
              </w:rPr>
              <w:t xml:space="preserve">Supporting</w:t>
            </w:r>
          </w:p>
        </w:tc>
      </w:tr>
      <w:tr>
        <w:tc>
          <w:tcPr/>
          <w:p>
            <w:pPr>
              <w:pStyle w:val="Compact"/>
            </w:pPr>
          </w:p>
        </w:tc>
        <w:tc>
          <w:tcPr/>
          <w:p>
            <w:pPr>
              <w:pStyle w:val="Compact"/>
            </w:pPr>
          </w:p>
        </w:tc>
        <w:tc>
          <w:tcPr/>
          <w:p>
            <w:pPr>
              <w:pStyle w:val="Compact"/>
            </w:pPr>
          </w:p>
        </w:tc>
      </w:tr>
      <w:tr>
        <w:tc>
          <w:tcPr/>
          <w:p>
            <w:pPr>
              <w:pStyle w:val="Compact"/>
              <w:jc w:val="left"/>
            </w:pPr>
            <w:r>
              <w:rPr>
                <w:bCs/>
                <w:b/>
              </w:rPr>
              <w:t xml:space="preserve">Kirthivasan Pandurangan Neelavathi</w:t>
            </w:r>
          </w:p>
        </w:tc>
        <w:tc>
          <w:tcPr/>
          <w:p>
            <w:pPr>
              <w:pStyle w:val="Compact"/>
              <w:jc w:val="left"/>
            </w:pPr>
            <w:r>
              <w:t xml:space="preserve">Software</w:t>
            </w:r>
          </w:p>
        </w:tc>
        <w:tc>
          <w:tcPr/>
          <w:p>
            <w:pPr>
              <w:pStyle w:val="Compact"/>
              <w:jc w:val="center"/>
            </w:pPr>
            <w:r>
              <w:rPr>
                <w:iCs/>
                <w:i/>
              </w:rPr>
              <w:t xml:space="preserve">Equal</w:t>
            </w:r>
          </w:p>
        </w:tc>
      </w:tr>
      <w:tr>
        <w:tc>
          <w:tcPr/>
          <w:p>
            <w:pPr>
              <w:pStyle w:val="Compact"/>
            </w:pPr>
          </w:p>
        </w:tc>
        <w:tc>
          <w:tcPr/>
          <w:p>
            <w:pPr>
              <w:pStyle w:val="Compact"/>
              <w:jc w:val="left"/>
            </w:pPr>
            <w:r>
              <w:t xml:space="preserve">Visualization</w:t>
            </w:r>
          </w:p>
        </w:tc>
        <w:tc>
          <w:tcPr/>
          <w:p>
            <w:pPr>
              <w:pStyle w:val="Compact"/>
              <w:jc w:val="center"/>
            </w:pPr>
            <w:r>
              <w:rPr>
                <w:iCs/>
                <w:i/>
              </w:rPr>
              <w:t xml:space="preserve">Supporting</w:t>
            </w:r>
          </w:p>
        </w:tc>
      </w:tr>
      <w:tr>
        <w:tc>
          <w:tcPr/>
          <w:p>
            <w:pPr>
              <w:pStyle w:val="Compact"/>
            </w:pPr>
          </w:p>
        </w:tc>
        <w:tc>
          <w:tcPr/>
          <w:p>
            <w:pPr>
              <w:pStyle w:val="Compact"/>
            </w:pPr>
          </w:p>
        </w:tc>
        <w:tc>
          <w:tcPr/>
          <w:p>
            <w:pPr>
              <w:pStyle w:val="Compact"/>
            </w:pPr>
          </w:p>
        </w:tc>
      </w:tr>
      <w:tr>
        <w:tc>
          <w:tcPr/>
          <w:p>
            <w:pPr>
              <w:pStyle w:val="Compact"/>
              <w:jc w:val="left"/>
            </w:pPr>
            <w:r>
              <w:rPr>
                <w:bCs/>
                <w:b/>
              </w:rPr>
              <w:t xml:space="preserve">Vivek Tiwari</w:t>
            </w:r>
          </w:p>
        </w:tc>
        <w:tc>
          <w:tcPr/>
          <w:p>
            <w:pPr>
              <w:pStyle w:val="Compact"/>
              <w:jc w:val="left"/>
            </w:pPr>
            <w:r>
              <w:t xml:space="preserve">Software</w:t>
            </w:r>
          </w:p>
        </w:tc>
        <w:tc>
          <w:tcPr/>
          <w:p>
            <w:pPr>
              <w:pStyle w:val="Compact"/>
              <w:jc w:val="center"/>
            </w:pPr>
            <w:r>
              <w:rPr>
                <w:iCs/>
                <w:i/>
              </w:rPr>
              <w:t xml:space="preserve">Equal</w:t>
            </w:r>
          </w:p>
        </w:tc>
      </w:tr>
      <w:tr>
        <w:tc>
          <w:tcPr/>
          <w:p>
            <w:pPr>
              <w:pStyle w:val="Compact"/>
            </w:pPr>
          </w:p>
        </w:tc>
        <w:tc>
          <w:tcPr/>
          <w:p>
            <w:pPr>
              <w:pStyle w:val="Compact"/>
              <w:jc w:val="left"/>
            </w:pPr>
            <w:r>
              <w:t xml:space="preserve">Visualization</w:t>
            </w:r>
          </w:p>
        </w:tc>
        <w:tc>
          <w:tcPr/>
          <w:p>
            <w:pPr>
              <w:pStyle w:val="Compact"/>
              <w:jc w:val="center"/>
            </w:pPr>
            <w:r>
              <w:rPr>
                <w:iCs/>
                <w:i/>
              </w:rPr>
              <w:t xml:space="preserve">Supporting</w:t>
            </w:r>
          </w:p>
        </w:tc>
      </w:tr>
    </w:tbl>
    <w:bookmarkEnd w:id="95"/>
    <w:bookmarkStart w:id="178" w:name="references"/>
    <w:p>
      <w:pPr>
        <w:pStyle w:val="Heading1"/>
      </w:pPr>
      <w:r>
        <w:t xml:space="preserve">7. References</w:t>
      </w:r>
    </w:p>
    <w:bookmarkStart w:id="177" w:name="refs"/>
    <w:bookmarkStart w:id="97" w:name="X96e555db439e3c09af54149199182c106c472a7"/>
    <w:p>
      <w:pPr>
        <w:pStyle w:val="Bibliography"/>
      </w:pPr>
      <w:r>
        <w:t xml:space="preserve">Alvarez, Sophie, Boru Douthwaite, Graham Thiele, Ronald Mackay, Diana Cordoba, and Katherine Tehelen. 2010.</w:t>
      </w:r>
      <w:r>
        <w:t xml:space="preserve"> </w:t>
      </w:r>
      <w:r>
        <w:t xml:space="preserve">“Participatory</w:t>
      </w:r>
      <w:r>
        <w:t xml:space="preserve"> </w:t>
      </w:r>
      <w:r>
        <w:t xml:space="preserve">Impact Pathways Analysis</w:t>
      </w:r>
      <w:r>
        <w:t xml:space="preserve">: A Practical Method for Project Planning and Evaluation.”</w:t>
      </w:r>
      <w:r>
        <w:t xml:space="preserve"> </w:t>
      </w:r>
      <w:r>
        <w:rPr>
          <w:iCs/>
          <w:i/>
        </w:rPr>
        <w:t xml:space="preserve">Development in Practice</w:t>
      </w:r>
      <w:r>
        <w:t xml:space="preserve"> </w:t>
      </w:r>
      <w:r>
        <w:t xml:space="preserve">20 (November): 946–58.</w:t>
      </w:r>
      <w:r>
        <w:t xml:space="preserve"> </w:t>
      </w:r>
      <w:hyperlink r:id="rId96">
        <w:r>
          <w:rPr>
            <w:rStyle w:val="Hyperlink"/>
          </w:rPr>
          <w:t xml:space="preserve">https://doi.org/10.2307/20787374</w:t>
        </w:r>
      </w:hyperlink>
      <w:r>
        <w:t xml:space="preserve">.</w:t>
      </w:r>
    </w:p>
    <w:bookmarkEnd w:id="97"/>
    <w:bookmarkStart w:id="99" w:name="Xb534749790163fc9cd852db1b605b9fab069b13"/>
    <w:p>
      <w:pPr>
        <w:pStyle w:val="Bibliography"/>
      </w:pPr>
      <w:r>
        <w:t xml:space="preserve">Arora, Prerna G., Lauren S. Krumholz, Terry Guerra, and Stephen S. Leff. 2015.</w:t>
      </w:r>
      <w:r>
        <w:t xml:space="preserve"> </w:t>
      </w:r>
      <w:r>
        <w:t xml:space="preserve">“Measuring</w:t>
      </w:r>
      <w:r>
        <w:t xml:space="preserve"> </w:t>
      </w:r>
      <w:r>
        <w:t xml:space="preserve">Community-Based Participatory Research Partnerships</w:t>
      </w:r>
      <w:r>
        <w:t xml:space="preserve">:</w:t>
      </w:r>
      <w:r>
        <w:t xml:space="preserve"> </w:t>
      </w:r>
      <w:r>
        <w:t xml:space="preserve">The Initial Development</w:t>
      </w:r>
      <w:r>
        <w:t xml:space="preserve"> </w:t>
      </w:r>
      <w:r>
        <w:t xml:space="preserve">of an</w:t>
      </w:r>
      <w:r>
        <w:t xml:space="preserve"> </w:t>
      </w:r>
      <w:r>
        <w:t xml:space="preserve">Assessment Instrument</w:t>
      </w:r>
      <w:r>
        <w:t xml:space="preserve">.”</w:t>
      </w:r>
      <w:r>
        <w:t xml:space="preserve"> </w:t>
      </w:r>
      <w:r>
        <w:rPr>
          <w:iCs/>
          <w:i/>
        </w:rPr>
        <w:t xml:space="preserve">Progress in Community Health Partnerships: Research, Education, and Action</w:t>
      </w:r>
      <w:r>
        <w:t xml:space="preserve"> </w:t>
      </w:r>
      <w:r>
        <w:t xml:space="preserve">9 (4): 549–60.</w:t>
      </w:r>
      <w:r>
        <w:t xml:space="preserve"> </w:t>
      </w:r>
      <w:hyperlink r:id="rId98">
        <w:r>
          <w:rPr>
            <w:rStyle w:val="Hyperlink"/>
          </w:rPr>
          <w:t xml:space="preserve">https://doi.org/10.1353/cpr.2015.0077</w:t>
        </w:r>
      </w:hyperlink>
      <w:r>
        <w:t xml:space="preserve">.</w:t>
      </w:r>
    </w:p>
    <w:bookmarkEnd w:id="99"/>
    <w:bookmarkStart w:id="101" w:name="ref-banasickKADEDesktopApplication2019"/>
    <w:p>
      <w:pPr>
        <w:pStyle w:val="Bibliography"/>
      </w:pPr>
      <w:r>
        <w:t xml:space="preserve">Banasick, Shawn. 2019.</w:t>
      </w:r>
      <w:r>
        <w:t xml:space="preserve"> </w:t>
      </w:r>
      <w:r>
        <w:t xml:space="preserve">“</w:t>
      </w:r>
      <w:r>
        <w:t xml:space="preserve">KADE</w:t>
      </w:r>
      <w:r>
        <w:t xml:space="preserve">:</w:t>
      </w:r>
      <w:r>
        <w:t xml:space="preserve"> </w:t>
      </w:r>
      <w:r>
        <w:t xml:space="preserve">A</w:t>
      </w:r>
      <w:r>
        <w:t xml:space="preserve"> </w:t>
      </w:r>
      <w:r>
        <w:t xml:space="preserve">Desktop Application for</w:t>
      </w:r>
      <w:r>
        <w:t xml:space="preserve"> </w:t>
      </w:r>
      <w:r>
        <w:t xml:space="preserve">Q</w:t>
      </w:r>
      <w:r>
        <w:t xml:space="preserve"> </w:t>
      </w:r>
      <w:r>
        <w:t xml:space="preserve">Methodology.”</w:t>
      </w:r>
      <w:r>
        <w:t xml:space="preserve"> </w:t>
      </w:r>
      <w:r>
        <w:rPr>
          <w:iCs/>
          <w:i/>
        </w:rPr>
        <w:t xml:space="preserve">Journal of Open Source Software</w:t>
      </w:r>
      <w:r>
        <w:t xml:space="preserve"> </w:t>
      </w:r>
      <w:r>
        <w:t xml:space="preserve">4 (36): 1360.</w:t>
      </w:r>
      <w:r>
        <w:t xml:space="preserve"> </w:t>
      </w:r>
      <w:hyperlink r:id="rId100">
        <w:r>
          <w:rPr>
            <w:rStyle w:val="Hyperlink"/>
          </w:rPr>
          <w:t xml:space="preserve">https://doi.org/10.21105/joss.01360</w:t>
        </w:r>
      </w:hyperlink>
      <w:r>
        <w:t xml:space="preserve">.</w:t>
      </w:r>
    </w:p>
    <w:bookmarkEnd w:id="101"/>
    <w:bookmarkStart w:id="103" w:name="Xd5c3c930e8fb0186433e5be8f53eaa20e7c5bd0"/>
    <w:p>
      <w:pPr>
        <w:pStyle w:val="Bibliography"/>
      </w:pPr>
      <w:r>
        <w:t xml:space="preserve">Belone, Lorenda, JE. Lucero, B. Duran, G. Tafoya, EA. Baker, D. Chan, C. Chang, E. Greene-Moton, M. Kelley, and Nina Wallerstein. 2016.</w:t>
      </w:r>
      <w:r>
        <w:t xml:space="preserve"> </w:t>
      </w:r>
      <w:r>
        <w:t xml:space="preserve">“Community-</w:t>
      </w:r>
      <w:r>
        <w:t xml:space="preserve">Based Participatory Research Conceptual Model</w:t>
      </w:r>
      <w:r>
        <w:t xml:space="preserve">:</w:t>
      </w:r>
      <w:r>
        <w:t xml:space="preserve"> </w:t>
      </w:r>
      <w:r>
        <w:t xml:space="preserve">Community Partner Consultation</w:t>
      </w:r>
      <w:r>
        <w:t xml:space="preserve"> </w:t>
      </w:r>
      <w:r>
        <w:t xml:space="preserve">and</w:t>
      </w:r>
      <w:r>
        <w:t xml:space="preserve"> </w:t>
      </w:r>
      <w:r>
        <w:t xml:space="preserve">Face Validity</w:t>
      </w:r>
      <w:r>
        <w:t xml:space="preserve">.”</w:t>
      </w:r>
      <w:r>
        <w:t xml:space="preserve"> </w:t>
      </w:r>
      <w:r>
        <w:rPr>
          <w:iCs/>
          <w:i/>
        </w:rPr>
        <w:t xml:space="preserve">Qualitative Health Research</w:t>
      </w:r>
      <w:r>
        <w:t xml:space="preserve"> </w:t>
      </w:r>
      <w:r>
        <w:t xml:space="preserve">26 (1): 117–35.</w:t>
      </w:r>
      <w:r>
        <w:t xml:space="preserve"> </w:t>
      </w:r>
      <w:hyperlink r:id="rId102">
        <w:r>
          <w:rPr>
            <w:rStyle w:val="Hyperlink"/>
          </w:rPr>
          <w:t xml:space="preserve">https://doi.org/10.1177/1049732314557084</w:t>
        </w:r>
      </w:hyperlink>
      <w:r>
        <w:t xml:space="preserve">.</w:t>
      </w:r>
    </w:p>
    <w:bookmarkEnd w:id="103"/>
    <w:bookmarkStart w:id="105" w:name="ref-boursawScalesPracticesOutcomes2021"/>
    <w:p>
      <w:pPr>
        <w:pStyle w:val="Bibliography"/>
      </w:pPr>
      <w:r>
        <w:t xml:space="preserve">Boursaw, Blake, John G. Oetzel, Elizabeth Dickson, Thomas S. Thein, Shannon Sanchez-Youngman, Juan Peña, Myra Parker, et al. 2021.</w:t>
      </w:r>
      <w:r>
        <w:t xml:space="preserve"> </w:t>
      </w:r>
      <w:r>
        <w:t xml:space="preserve">“Scales of</w:t>
      </w:r>
      <w:r>
        <w:t xml:space="preserve"> </w:t>
      </w:r>
      <w:r>
        <w:t xml:space="preserve">Practices</w:t>
      </w:r>
      <w:r>
        <w:t xml:space="preserve"> </w:t>
      </w:r>
      <w:r>
        <w:t xml:space="preserve">and</w:t>
      </w:r>
      <w:r>
        <w:t xml:space="preserve"> </w:t>
      </w:r>
      <w:r>
        <w:t xml:space="preserve">Outcomes</w:t>
      </w:r>
      <w:r>
        <w:t xml:space="preserve"> </w:t>
      </w:r>
      <w:r>
        <w:t xml:space="preserve">for</w:t>
      </w:r>
      <w:r>
        <w:t xml:space="preserve"> </w:t>
      </w:r>
      <w:r>
        <w:t xml:space="preserve">Community-Engaged Research</w:t>
      </w:r>
      <w:r>
        <w:t xml:space="preserve">.”</w:t>
      </w:r>
      <w:r>
        <w:t xml:space="preserve"> </w:t>
      </w:r>
      <w:r>
        <w:rPr>
          <w:iCs/>
          <w:i/>
        </w:rPr>
        <w:t xml:space="preserve">American Journal of Community Psychology</w:t>
      </w:r>
      <w:r>
        <w:t xml:space="preserve"> </w:t>
      </w:r>
      <w:r>
        <w:t xml:space="preserve">67 (3-4): 256–70.</w:t>
      </w:r>
      <w:r>
        <w:t xml:space="preserve"> </w:t>
      </w:r>
      <w:hyperlink r:id="rId104">
        <w:r>
          <w:rPr>
            <w:rStyle w:val="Hyperlink"/>
          </w:rPr>
          <w:t xml:space="preserve">https://doi.org/10.1002/ajcp.12503</w:t>
        </w:r>
      </w:hyperlink>
      <w:r>
        <w:t xml:space="preserve">.</w:t>
      </w:r>
    </w:p>
    <w:bookmarkEnd w:id="105"/>
    <w:bookmarkStart w:id="107" w:name="Xde3bbe4e5777cea5f7a4a6401e15c76100717d8"/>
    <w:p>
      <w:pPr>
        <w:pStyle w:val="Bibliography"/>
      </w:pPr>
      <w:r>
        <w:t xml:space="preserve">Bowen, D. J., T. Hyams, M. Goodman, K. M. West, J. Harris-Wai, and J.-H. Yu. 2017.</w:t>
      </w:r>
      <w:r>
        <w:t xml:space="preserve"> </w:t>
      </w:r>
      <w:r>
        <w:t xml:space="preserve">“Systematic</w:t>
      </w:r>
      <w:r>
        <w:t xml:space="preserve"> </w:t>
      </w:r>
      <w:r>
        <w:t xml:space="preserve">Review</w:t>
      </w:r>
      <w:r>
        <w:t xml:space="preserve"> </w:t>
      </w:r>
      <w:r>
        <w:t xml:space="preserve">of</w:t>
      </w:r>
      <w:r>
        <w:t xml:space="preserve"> </w:t>
      </w:r>
      <w:r>
        <w:t xml:space="preserve">Quantitative Measures</w:t>
      </w:r>
      <w:r>
        <w:t xml:space="preserve"> </w:t>
      </w:r>
      <w:r>
        <w:t xml:space="preserve">of</w:t>
      </w:r>
      <w:r>
        <w:t xml:space="preserve"> </w:t>
      </w:r>
      <w:r>
        <w:t xml:space="preserve">Stakeholder Engagement</w:t>
      </w:r>
      <w:r>
        <w:t xml:space="preserve">.”</w:t>
      </w:r>
      <w:r>
        <w:t xml:space="preserve"> </w:t>
      </w:r>
      <w:r>
        <w:rPr>
          <w:iCs/>
          <w:i/>
        </w:rPr>
        <w:t xml:space="preserve">Clinical and Translational Science</w:t>
      </w:r>
      <w:r>
        <w:t xml:space="preserve"> </w:t>
      </w:r>
      <w:r>
        <w:t xml:space="preserve">10 (5): 314–36.</w:t>
      </w:r>
      <w:r>
        <w:t xml:space="preserve"> </w:t>
      </w:r>
      <w:hyperlink r:id="rId106">
        <w:r>
          <w:rPr>
            <w:rStyle w:val="Hyperlink"/>
          </w:rPr>
          <w:t xml:space="preserve">https://doi.org/10.1111/cts.12474</w:t>
        </w:r>
      </w:hyperlink>
      <w:r>
        <w:t xml:space="preserve">.</w:t>
      </w:r>
    </w:p>
    <w:bookmarkEnd w:id="107"/>
    <w:bookmarkStart w:id="109" w:name="ref-chazdonFieldGuideRipple2017"/>
    <w:p>
      <w:pPr>
        <w:pStyle w:val="Bibliography"/>
      </w:pPr>
      <w:r>
        <w:t xml:space="preserve">Chazdon, Scott, Mary Emery, Debra Hansen, Lorie Higgins, and Rebecca Sero. 2017.</w:t>
      </w:r>
      <w:r>
        <w:t xml:space="preserve"> </w:t>
      </w:r>
      <w:r>
        <w:rPr>
          <w:iCs/>
          <w:i/>
        </w:rPr>
        <w:t xml:space="preserve">A</w:t>
      </w:r>
      <w:r>
        <w:rPr>
          <w:iCs/>
          <w:i/>
        </w:rPr>
        <w:t xml:space="preserve"> </w:t>
      </w:r>
      <w:r>
        <w:rPr>
          <w:iCs/>
          <w:i/>
        </w:rPr>
        <w:t xml:space="preserve">Field Guide</w:t>
      </w:r>
      <w:r>
        <w:rPr>
          <w:iCs/>
          <w:i/>
        </w:rPr>
        <w:t xml:space="preserve"> </w:t>
      </w:r>
      <w:r>
        <w:rPr>
          <w:iCs/>
          <w:i/>
        </w:rPr>
        <w:t xml:space="preserve">to</w:t>
      </w:r>
      <w:r>
        <w:rPr>
          <w:iCs/>
          <w:i/>
        </w:rPr>
        <w:t xml:space="preserve"> </w:t>
      </w:r>
      <w:r>
        <w:rPr>
          <w:iCs/>
          <w:i/>
        </w:rPr>
        <w:t xml:space="preserve">Ripple Effects Mapping</w:t>
      </w:r>
      <w:r>
        <w:t xml:space="preserve">. University of Minnesota Libraries Publishing.</w:t>
      </w:r>
      <w:r>
        <w:t xml:space="preserve"> </w:t>
      </w:r>
      <w:hyperlink r:id="rId108">
        <w:r>
          <w:rPr>
            <w:rStyle w:val="Hyperlink"/>
          </w:rPr>
          <w:t xml:space="preserve">http://conservancy.umn.edu/handle/11299/190639</w:t>
        </w:r>
      </w:hyperlink>
      <w:r>
        <w:t xml:space="preserve">.</w:t>
      </w:r>
    </w:p>
    <w:bookmarkEnd w:id="109"/>
    <w:bookmarkStart w:id="110" w:name="X319d9bb8a65113e5e55c3bbe7154e7e54f9aa90"/>
    <w:p>
      <w:pPr>
        <w:pStyle w:val="Bibliography"/>
      </w:pPr>
      <w:r>
        <w:t xml:space="preserve">Christakis, Nicholas A., and James H. Fowler. 2009.</w:t>
      </w:r>
      <w:r>
        <w:t xml:space="preserve"> </w:t>
      </w:r>
      <w:r>
        <w:rPr>
          <w:iCs/>
          <w:i/>
        </w:rPr>
        <w:t xml:space="preserve">Connected:</w:t>
      </w:r>
      <w:r>
        <w:rPr>
          <w:iCs/>
          <w:i/>
        </w:rPr>
        <w:t xml:space="preserve"> </w:t>
      </w:r>
      <w:r>
        <w:rPr>
          <w:iCs/>
          <w:i/>
        </w:rPr>
        <w:t xml:space="preserve">The</w:t>
      </w:r>
      <w:r>
        <w:rPr>
          <w:iCs/>
          <w:i/>
        </w:rPr>
        <w:t xml:space="preserve"> </w:t>
      </w:r>
      <w:r>
        <w:rPr>
          <w:iCs/>
          <w:i/>
        </w:rPr>
        <w:t xml:space="preserve">Surprising Power of Our Social Networks and How They Shape Our Lives</w:t>
      </w:r>
      <w:r>
        <w:t xml:space="preserve">. New York:</w:t>
      </w:r>
      <w:r>
        <w:t xml:space="preserve"> </w:t>
      </w:r>
      <w:r>
        <w:t xml:space="preserve">Little, Brown and Company</w:t>
      </w:r>
      <w:r>
        <w:t xml:space="preserve">.</w:t>
      </w:r>
    </w:p>
    <w:bookmarkEnd w:id="110"/>
    <w:bookmarkStart w:id="112" w:name="X3cf1e4c9bb015c250d5e487531c464712a8f005"/>
    <w:p>
      <w:pPr>
        <w:pStyle w:val="Bibliography"/>
      </w:pPr>
      <w:r>
        <w:t xml:space="preserve">Clayton, Patti H, Robert G Bringle, Bryanne Senor, Jenny Huq, and Mary Morrison. 2010.</w:t>
      </w:r>
      <w:r>
        <w:t xml:space="preserve"> </w:t>
      </w:r>
      <w:r>
        <w:t xml:space="preserve">“Differentiating and</w:t>
      </w:r>
      <w:r>
        <w:t xml:space="preserve"> </w:t>
      </w:r>
      <w:r>
        <w:t xml:space="preserve">Assessing Relationships</w:t>
      </w:r>
      <w:r>
        <w:t xml:space="preserve"> </w:t>
      </w:r>
      <w:r>
        <w:t xml:space="preserve">in</w:t>
      </w:r>
      <w:r>
        <w:t xml:space="preserve"> </w:t>
      </w:r>
      <w:r>
        <w:t xml:space="preserve">Service-Learning</w:t>
      </w:r>
      <w:r>
        <w:t xml:space="preserve"> </w:t>
      </w:r>
      <w:r>
        <w:t xml:space="preserve">and</w:t>
      </w:r>
      <w:r>
        <w:t xml:space="preserve"> </w:t>
      </w:r>
      <w:r>
        <w:t xml:space="preserve">Civic Engagement</w:t>
      </w:r>
      <w:r>
        <w:t xml:space="preserve">:</w:t>
      </w:r>
      <w:r>
        <w:t xml:space="preserve"> </w:t>
      </w:r>
      <w:r>
        <w:t xml:space="preserve">Exploitative</w:t>
      </w:r>
      <w:r>
        <w:t xml:space="preserve">,</w:t>
      </w:r>
      <w:r>
        <w:t xml:space="preserve"> </w:t>
      </w:r>
      <w:r>
        <w:t xml:space="preserve">Transactional</w:t>
      </w:r>
      <w:r>
        <w:t xml:space="preserve">, or</w:t>
      </w:r>
      <w:r>
        <w:t xml:space="preserve"> </w:t>
      </w:r>
      <w:r>
        <w:t xml:space="preserve">Transformational</w:t>
      </w:r>
      <w:r>
        <w:t xml:space="preserve">.”</w:t>
      </w:r>
      <w:r>
        <w:t xml:space="preserve"> </w:t>
      </w:r>
      <w:r>
        <w:rPr>
          <w:iCs/>
          <w:i/>
        </w:rPr>
        <w:t xml:space="preserve">Michigan Journal of Community Service Learning</w:t>
      </w:r>
      <w:r>
        <w:t xml:space="preserve">, 5–22.</w:t>
      </w:r>
      <w:r>
        <w:t xml:space="preserve"> </w:t>
      </w:r>
      <w:hyperlink r:id="rId111">
        <w:r>
          <w:rPr>
            <w:rStyle w:val="Hyperlink"/>
          </w:rPr>
          <w:t xml:space="preserve">https://indiana.sharepoint.com/sites/msteams_92d57a/Shared%20Documents/Forms/AllItems.aspx?id=%2Fsites%2Fmsteams%5F92d57a%2FShared%20Documents%2FGeneral%2Fcsl%2FWCMS%20Resources%2Ftres1%2Epdf&amp;parent=%2Fsites%2Fmsteams%5F92d57a%2FShared%20Documents%2FGeneral%2Fcsl%2FWCMS%20Resources&amp;p=true&amp;ga=1</w:t>
        </w:r>
      </w:hyperlink>
      <w:r>
        <w:t xml:space="preserve">.</w:t>
      </w:r>
    </w:p>
    <w:bookmarkEnd w:id="112"/>
    <w:bookmarkStart w:id="114" w:name="ref-HowMakeSpirals"/>
    <w:p>
      <w:pPr>
        <w:pStyle w:val="Bibliography"/>
      </w:pPr>
      <w:r>
        <w:t xml:space="preserve">Datasketch. 2023.</w:t>
      </w:r>
      <w:r>
        <w:t xml:space="preserve"> </w:t>
      </w:r>
      <w:r>
        <w:t xml:space="preserve">“How to Make Spirals with</w:t>
      </w:r>
      <w:r>
        <w:t xml:space="preserve"> </w:t>
      </w:r>
      <w:r>
        <w:t xml:space="preserve">R</w:t>
      </w:r>
      <w:r>
        <w:t xml:space="preserve"> </w:t>
      </w:r>
      <w:r>
        <w:t xml:space="preserve">and Make Indigenous Communities Count.”</w:t>
      </w:r>
      <w:r>
        <w:t xml:space="preserve"> </w:t>
      </w:r>
      <w:r>
        <w:t xml:space="preserve">2023.</w:t>
      </w:r>
      <w:r>
        <w:t xml:space="preserve"> </w:t>
      </w:r>
      <w:hyperlink r:id="rId113">
        <w:r>
          <w:rPr>
            <w:rStyle w:val="Hyperlink"/>
          </w:rPr>
          <w:t xml:space="preserve">https://datasketch.dev/post/2020-08-09-how-to-make-spirals-with-r/</w:t>
        </w:r>
      </w:hyperlink>
      <w:r>
        <w:t xml:space="preserve">.</w:t>
      </w:r>
    </w:p>
    <w:bookmarkEnd w:id="114"/>
    <w:bookmarkStart w:id="116" w:name="Xb6819665937d88c697a1389cd34e1ef7e81a990"/>
    <w:p>
      <w:pPr>
        <w:pStyle w:val="Bibliography"/>
      </w:pPr>
      <w:r>
        <w:t xml:space="preserve">Dostilio, Lino D. 2014.</w:t>
      </w:r>
      <w:r>
        <w:t xml:space="preserve"> </w:t>
      </w:r>
      <w:r>
        <w:t xml:space="preserve">“Democratically</w:t>
      </w:r>
      <w:r>
        <w:t xml:space="preserve"> </w:t>
      </w:r>
      <w:r>
        <w:t xml:space="preserve">Engaged Community</w:t>
      </w:r>
      <w:r>
        <w:t xml:space="preserve">–</w:t>
      </w:r>
      <w:r>
        <w:t xml:space="preserve">University Partnerships</w:t>
      </w:r>
      <w:r>
        <w:t xml:space="preserve">:</w:t>
      </w:r>
      <w:r>
        <w:t xml:space="preserve"> </w:t>
      </w:r>
      <w:r>
        <w:t xml:space="preserve">Reciprocal Determinants</w:t>
      </w:r>
      <w:r>
        <w:t xml:space="preserve"> </w:t>
      </w:r>
      <w:r>
        <w:t xml:space="preserve">of</w:t>
      </w:r>
      <w:r>
        <w:t xml:space="preserve"> </w:t>
      </w:r>
      <w:r>
        <w:t xml:space="preserve">Democratically Oriented Roles</w:t>
      </w:r>
      <w:r>
        <w:t xml:space="preserve"> </w:t>
      </w:r>
      <w:r>
        <w:t xml:space="preserve">and</w:t>
      </w:r>
      <w:r>
        <w:t xml:space="preserve"> </w:t>
      </w:r>
      <w:r>
        <w:t xml:space="preserve">Processes</w:t>
      </w:r>
      <w:r>
        <w:t xml:space="preserve">.”</w:t>
      </w:r>
      <w:r>
        <w:t xml:space="preserve"> </w:t>
      </w:r>
      <w:r>
        <w:rPr>
          <w:iCs/>
          <w:i/>
        </w:rPr>
        <w:t xml:space="preserve">Journal of Higher Education Outreach and Engagement</w:t>
      </w:r>
      <w:r>
        <w:t xml:space="preserve"> </w:t>
      </w:r>
      <w:r>
        <w:t xml:space="preserve">18 (4, 4): 235–44.</w:t>
      </w:r>
      <w:r>
        <w:t xml:space="preserve"> </w:t>
      </w:r>
      <w:hyperlink r:id="rId115">
        <w:r>
          <w:rPr>
            <w:rStyle w:val="Hyperlink"/>
          </w:rPr>
          <w:t xml:space="preserve">https://openjournals.libs.uga.edu/jheoe/article/view/1159</w:t>
        </w:r>
      </w:hyperlink>
      <w:r>
        <w:t xml:space="preserve">.</w:t>
      </w:r>
    </w:p>
    <w:bookmarkEnd w:id="116"/>
    <w:bookmarkStart w:id="118" w:name="Xe815399ebb64e9986d510628e42e5a422244eb7"/>
    <w:p>
      <w:pPr>
        <w:pStyle w:val="Bibliography"/>
      </w:pPr>
      <w:r>
        <w:t xml:space="preserve">Environmental Quality, Oregon Department of. 2022.</w:t>
      </w:r>
      <w:r>
        <w:t xml:space="preserve"> </w:t>
      </w:r>
      <w:r>
        <w:t xml:space="preserve">“Enhancing</w:t>
      </w:r>
      <w:r>
        <w:t xml:space="preserve"> </w:t>
      </w:r>
      <w:r>
        <w:t xml:space="preserve">Community Engagement Using Q-Methodology</w:t>
      </w:r>
      <w:r>
        <w:t xml:space="preserve">.”</w:t>
      </w:r>
      <w:r>
        <w:t xml:space="preserve"> </w:t>
      </w:r>
      <w:r>
        <w:t xml:space="preserve">Portland, OR: Oregon Department of Environmental Quality.</w:t>
      </w:r>
      <w:r>
        <w:t xml:space="preserve"> </w:t>
      </w:r>
      <w:hyperlink r:id="rId117">
        <w:r>
          <w:rPr>
            <w:rStyle w:val="Hyperlink"/>
          </w:rPr>
          <w:t xml:space="preserve">https://www.oregon.gov/deq/mm/Documents/recQmethodRep.pdf</w:t>
        </w:r>
      </w:hyperlink>
      <w:r>
        <w:t xml:space="preserve">.</w:t>
      </w:r>
    </w:p>
    <w:bookmarkEnd w:id="118"/>
    <w:bookmarkStart w:id="120" w:name="ref-fiksUsingFreelistingUnderstand2011"/>
    <w:p>
      <w:pPr>
        <w:pStyle w:val="Bibliography"/>
      </w:pPr>
      <w:r>
        <w:t xml:space="preserve">Fiks, Alexander G., Angela Gafen, Cayce C. Hughes, Kenya F. Hunter, and Frances K. Barg. 2011.</w:t>
      </w:r>
      <w:r>
        <w:t xml:space="preserve"> </w:t>
      </w:r>
      <w:r>
        <w:t xml:space="preserve">“Using Freelisting to Understand Shared Decision Making in</w:t>
      </w:r>
      <w:r>
        <w:t xml:space="preserve"> </w:t>
      </w:r>
      <w:r>
        <w:t xml:space="preserve">ADHD</w:t>
      </w:r>
      <w:r>
        <w:t xml:space="preserve">:</w:t>
      </w:r>
      <w:r>
        <w:t xml:space="preserve"> </w:t>
      </w:r>
      <w:r>
        <w:t xml:space="preserve">Parents</w:t>
      </w:r>
      <w:r>
        <w:t xml:space="preserve">’ and Pediatricians’ Perspectives.”</w:t>
      </w:r>
      <w:r>
        <w:t xml:space="preserve"> </w:t>
      </w:r>
      <w:r>
        <w:rPr>
          <w:iCs/>
          <w:i/>
        </w:rPr>
        <w:t xml:space="preserve">Patient Education and Counseling</w:t>
      </w:r>
      <w:r>
        <w:t xml:space="preserve"> </w:t>
      </w:r>
      <w:r>
        <w:t xml:space="preserve">84 (2): 236–44.</w:t>
      </w:r>
      <w:r>
        <w:t xml:space="preserve"> </w:t>
      </w:r>
      <w:hyperlink r:id="rId119">
        <w:r>
          <w:rPr>
            <w:rStyle w:val="Hyperlink"/>
          </w:rPr>
          <w:t xml:space="preserve">https://doi.org/10.1016/j.pec.2010.07.035</w:t>
        </w:r>
      </w:hyperlink>
      <w:r>
        <w:t xml:space="preserve">.</w:t>
      </w:r>
    </w:p>
    <w:bookmarkEnd w:id="120"/>
    <w:bookmarkStart w:id="122" w:name="ref-gatesValuingCriticalSystems2018"/>
    <w:p>
      <w:pPr>
        <w:pStyle w:val="Bibliography"/>
      </w:pPr>
      <w:r>
        <w:t xml:space="preserve">Gates, Emily F. 2018.</w:t>
      </w:r>
      <w:r>
        <w:t xml:space="preserve"> </w:t>
      </w:r>
      <w:r>
        <w:t xml:space="preserve">“Toward</w:t>
      </w:r>
      <w:r>
        <w:t xml:space="preserve"> </w:t>
      </w:r>
      <w:r>
        <w:t xml:space="preserve">Valuing With Critical Systems Heuristics</w:t>
      </w:r>
      <w:r>
        <w:t xml:space="preserve">.”</w:t>
      </w:r>
      <w:r>
        <w:t xml:space="preserve"> </w:t>
      </w:r>
      <w:r>
        <w:rPr>
          <w:iCs/>
          <w:i/>
        </w:rPr>
        <w:t xml:space="preserve">American Journal of Evaluation</w:t>
      </w:r>
      <w:r>
        <w:t xml:space="preserve"> </w:t>
      </w:r>
      <w:r>
        <w:t xml:space="preserve">39 (2): 201–20.</w:t>
      </w:r>
      <w:r>
        <w:t xml:space="preserve"> </w:t>
      </w:r>
      <w:hyperlink r:id="rId121">
        <w:r>
          <w:rPr>
            <w:rStyle w:val="Hyperlink"/>
          </w:rPr>
          <w:t xml:space="preserve">https://doi.org/10.1177/1098214017703703</w:t>
        </w:r>
      </w:hyperlink>
      <w:r>
        <w:t xml:space="preserve">.</w:t>
      </w:r>
    </w:p>
    <w:bookmarkEnd w:id="122"/>
    <w:bookmarkStart w:id="124" w:name="X984347cb40387b1b82043c20988a2ef7b037d03"/>
    <w:p>
      <w:pPr>
        <w:pStyle w:val="Bibliography"/>
      </w:pPr>
      <w:r>
        <w:t xml:space="preserve">Goodman, Melody S., Vetta L. Sanders Thompson, Cassandra Arroyo Johnson, Renee Gennarelli, Bettina F. Drake, Pravleen Bajwa, Maranda Witherspoon, and Deborah Bowen. 2017.</w:t>
      </w:r>
      <w:r>
        <w:t xml:space="preserve"> </w:t>
      </w:r>
      <w:r>
        <w:t xml:space="preserve">“</w:t>
      </w:r>
      <w:r>
        <w:t xml:space="preserve">EVALUATING COMMUNITY ENGAGEMENT IN RESEARCH</w:t>
      </w:r>
      <w:r>
        <w:t xml:space="preserve">:</w:t>
      </w:r>
      <w:r>
        <w:t xml:space="preserve"> </w:t>
      </w:r>
      <w:r>
        <w:t xml:space="preserve">QUANTITATIVE MEASURE DEVELOPMENT</w:t>
      </w:r>
      <w:r>
        <w:t xml:space="preserve">.”</w:t>
      </w:r>
      <w:r>
        <w:t xml:space="preserve"> </w:t>
      </w:r>
      <w:r>
        <w:rPr>
          <w:iCs/>
          <w:i/>
        </w:rPr>
        <w:t xml:space="preserve">Journal of Community Psychology</w:t>
      </w:r>
      <w:r>
        <w:t xml:space="preserve"> </w:t>
      </w:r>
      <w:r>
        <w:t xml:space="preserve">45 (1): 17–32.</w:t>
      </w:r>
      <w:r>
        <w:t xml:space="preserve"> </w:t>
      </w:r>
      <w:hyperlink r:id="rId123">
        <w:r>
          <w:rPr>
            <w:rStyle w:val="Hyperlink"/>
          </w:rPr>
          <w:t xml:space="preserve">https://doi.org/10.1002/jcop.21828</w:t>
        </w:r>
      </w:hyperlink>
      <w:r>
        <w:t xml:space="preserve">.</w:t>
      </w:r>
    </w:p>
    <w:bookmarkEnd w:id="124"/>
    <w:bookmarkStart w:id="126" w:name="ref-hauserMetricsYouAre1998"/>
    <w:p>
      <w:pPr>
        <w:pStyle w:val="Bibliography"/>
      </w:pPr>
      <w:r>
        <w:t xml:space="preserve">Hauser, John, and Gerald Katz. 1998.</w:t>
      </w:r>
      <w:r>
        <w:t xml:space="preserve"> </w:t>
      </w:r>
      <w:r>
        <w:t xml:space="preserve">“Metrics: You Are What You Measure!”</w:t>
      </w:r>
      <w:r>
        <w:t xml:space="preserve"> </w:t>
      </w:r>
      <w:r>
        <w:rPr>
          <w:iCs/>
          <w:i/>
        </w:rPr>
        <w:t xml:space="preserve">European Management Journal</w:t>
      </w:r>
      <w:r>
        <w:t xml:space="preserve"> </w:t>
      </w:r>
      <w:r>
        <w:t xml:space="preserve">16 (5): 517–28.</w:t>
      </w:r>
      <w:r>
        <w:t xml:space="preserve"> </w:t>
      </w:r>
      <w:hyperlink r:id="rId125">
        <w:r>
          <w:rPr>
            <w:rStyle w:val="Hyperlink"/>
          </w:rPr>
          <w:t xml:space="preserve">https://doi.org/10.1016/S0263-2373(98)00029-2</w:t>
        </w:r>
      </w:hyperlink>
      <w:r>
        <w:t xml:space="preserve">.</w:t>
      </w:r>
    </w:p>
    <w:bookmarkEnd w:id="126"/>
    <w:bookmarkStart w:id="128" w:name="ref-keyContinuumCommunityEngagement2019"/>
    <w:p>
      <w:pPr>
        <w:pStyle w:val="Bibliography"/>
      </w:pPr>
      <w:r>
        <w:t xml:space="preserve">Key, Kent D., Debra Furr-Holden, E. Yvonne Lewis, Rebecca Cunningham, Marc A. Zimmerman, Vicki Johnson-Lawrence, and Suzanne Selig. 2019.</w:t>
      </w:r>
      <w:r>
        <w:t xml:space="preserve"> </w:t>
      </w:r>
      <w:r>
        <w:t xml:space="preserve">“The</w:t>
      </w:r>
      <w:r>
        <w:t xml:space="preserve"> </w:t>
      </w:r>
      <w:r>
        <w:t xml:space="preserve">Continuum</w:t>
      </w:r>
      <w:r>
        <w:t xml:space="preserve"> </w:t>
      </w:r>
      <w:r>
        <w:t xml:space="preserve">of</w:t>
      </w:r>
      <w:r>
        <w:t xml:space="preserve"> </w:t>
      </w:r>
      <w:r>
        <w:t xml:space="preserve">Community Engagement</w:t>
      </w:r>
      <w:r>
        <w:t xml:space="preserve"> </w:t>
      </w:r>
      <w:r>
        <w:t xml:space="preserve">in</w:t>
      </w:r>
      <w:r>
        <w:t xml:space="preserve"> </w:t>
      </w:r>
      <w:r>
        <w:t xml:space="preserve">Research</w:t>
      </w:r>
      <w:r>
        <w:t xml:space="preserve">:</w:t>
      </w:r>
      <w:r>
        <w:t xml:space="preserve"> </w:t>
      </w:r>
      <w:r>
        <w:t xml:space="preserve">A Roadmap</w:t>
      </w:r>
      <w:r>
        <w:t xml:space="preserve"> </w:t>
      </w:r>
      <w:r>
        <w:t xml:space="preserve">for</w:t>
      </w:r>
      <w:r>
        <w:t xml:space="preserve"> </w:t>
      </w:r>
      <w:r>
        <w:t xml:space="preserve">Understanding</w:t>
      </w:r>
      <w:r>
        <w:t xml:space="preserve"> </w:t>
      </w:r>
      <w:r>
        <w:t xml:space="preserve">and</w:t>
      </w:r>
      <w:r>
        <w:t xml:space="preserve"> </w:t>
      </w:r>
      <w:r>
        <w:t xml:space="preserve">Assessing Progress</w:t>
      </w:r>
      <w:r>
        <w:t xml:space="preserve">.”</w:t>
      </w:r>
      <w:r>
        <w:t xml:space="preserve"> </w:t>
      </w:r>
      <w:r>
        <w:rPr>
          <w:iCs/>
          <w:i/>
        </w:rPr>
        <w:t xml:space="preserve">Progress in Community Health Partnerships: Research, Education, and Action</w:t>
      </w:r>
      <w:r>
        <w:t xml:space="preserve"> </w:t>
      </w:r>
      <w:r>
        <w:t xml:space="preserve">13 (4): 427–34.</w:t>
      </w:r>
      <w:r>
        <w:t xml:space="preserve"> </w:t>
      </w:r>
      <w:hyperlink r:id="rId127">
        <w:r>
          <w:rPr>
            <w:rStyle w:val="Hyperlink"/>
          </w:rPr>
          <w:t xml:space="preserve">https://doi.org/10.1353/cpr.2019.0064</w:t>
        </w:r>
      </w:hyperlink>
      <w:r>
        <w:t xml:space="preserve">.</w:t>
      </w:r>
    </w:p>
    <w:bookmarkEnd w:id="128"/>
    <w:bookmarkStart w:id="130" w:name="Xa43885749133be0f6965489ed7744df6f8310c8"/>
    <w:p>
      <w:pPr>
        <w:pStyle w:val="Bibliography"/>
      </w:pPr>
      <w:r>
        <w:t xml:space="preserve">Kniffin, Lori, Jasmina Camo-Biogradlija, Mary F. Price, Emily Kohl, Alessandra Del Conte Dickovick, Jamie Williams, Jamie Goodwin, Kristi V. Johnson, Patti H. Clayton, and Robert G. Bringle. 2020.</w:t>
      </w:r>
      <w:r>
        <w:t xml:space="preserve"> </w:t>
      </w:r>
      <w:r>
        <w:t xml:space="preserve">“Relationships and</w:t>
      </w:r>
      <w:r>
        <w:t xml:space="preserve"> </w:t>
      </w:r>
      <w:r>
        <w:t xml:space="preserve">Partnerships</w:t>
      </w:r>
      <w:r>
        <w:t xml:space="preserve"> </w:t>
      </w:r>
      <w:r>
        <w:t xml:space="preserve">in</w:t>
      </w:r>
      <w:r>
        <w:t xml:space="preserve"> </w:t>
      </w:r>
      <w:r>
        <w:t xml:space="preserve">Community</w:t>
      </w:r>
      <w:r>
        <w:t xml:space="preserve">–</w:t>
      </w:r>
      <w:r>
        <w:t xml:space="preserve">Campus Engagement</w:t>
      </w:r>
      <w:r>
        <w:t xml:space="preserve">:</w:t>
      </w:r>
      <w:r>
        <w:t xml:space="preserve"> </w:t>
      </w:r>
      <w:r>
        <w:t xml:space="preserve">Evolving Inquiry</w:t>
      </w:r>
      <w:r>
        <w:t xml:space="preserve"> </w:t>
      </w:r>
      <w:r>
        <w:t xml:space="preserve">and</w:t>
      </w:r>
      <w:r>
        <w:t xml:space="preserve"> </w:t>
      </w:r>
      <w:r>
        <w:t xml:space="preserve">Practice</w:t>
      </w:r>
      <w:r>
        <w:t xml:space="preserve">.”</w:t>
      </w:r>
      <w:r>
        <w:t xml:space="preserve"> </w:t>
      </w:r>
      <w:r>
        <w:rPr>
          <w:iCs/>
          <w:i/>
        </w:rPr>
        <w:t xml:space="preserve">International Journal of Research on Service-Learning and Community Engagement</w:t>
      </w:r>
      <w:r>
        <w:t xml:space="preserve"> </w:t>
      </w:r>
      <w:r>
        <w:t xml:space="preserve">8 (1).</w:t>
      </w:r>
      <w:r>
        <w:t xml:space="preserve"> </w:t>
      </w:r>
      <w:hyperlink r:id="rId129">
        <w:r>
          <w:rPr>
            <w:rStyle w:val="Hyperlink"/>
          </w:rPr>
          <w:t xml:space="preserve">https://doi.org/10.37333/001c.18586</w:t>
        </w:r>
      </w:hyperlink>
      <w:r>
        <w:t xml:space="preserve">.</w:t>
      </w:r>
    </w:p>
    <w:bookmarkEnd w:id="130"/>
    <w:bookmarkStart w:id="132" w:name="Xe40f9545615f3496885186bc878077c8e6130d8"/>
    <w:p>
      <w:pPr>
        <w:pStyle w:val="Bibliography"/>
      </w:pPr>
      <w:r>
        <w:t xml:space="preserve">Lewis, Virginia J., Catherine M. Scott, Kate Silburn, and William L. Miller. 2023.</w:t>
      </w:r>
      <w:r>
        <w:t xml:space="preserve"> </w:t>
      </w:r>
      <w:r>
        <w:t xml:space="preserve">“A Longitudinal Multi-Site Evaluation of Community-Based Partnerships: Implications for Researchers, Funders, and Communities.”</w:t>
      </w:r>
      <w:r>
        <w:t xml:space="preserve"> </w:t>
      </w:r>
      <w:r>
        <w:rPr>
          <w:iCs/>
          <w:i/>
        </w:rPr>
        <w:t xml:space="preserve">Health Research Policy and Systems</w:t>
      </w:r>
      <w:r>
        <w:t xml:space="preserve"> </w:t>
      </w:r>
      <w:r>
        <w:t xml:space="preserve">21 (1): 103.</w:t>
      </w:r>
      <w:r>
        <w:t xml:space="preserve"> </w:t>
      </w:r>
      <w:hyperlink r:id="rId131">
        <w:r>
          <w:rPr>
            <w:rStyle w:val="Hyperlink"/>
          </w:rPr>
          <w:t xml:space="preserve">https://doi.org/10.1186/s12961-023-01045-y</w:t>
        </w:r>
      </w:hyperlink>
      <w:r>
        <w:t xml:space="preserve">.</w:t>
      </w:r>
    </w:p>
    <w:bookmarkEnd w:id="132"/>
    <w:bookmarkStart w:id="134" w:name="ref-longBridgesBrokersBoundary2013"/>
    <w:p>
      <w:pPr>
        <w:pStyle w:val="Bibliography"/>
      </w:pPr>
      <w:r>
        <w:t xml:space="preserve">Long, Janet, Frances Cunningham, and Jeffrey Braithwaite. 2013.</w:t>
      </w:r>
      <w:r>
        <w:t xml:space="preserve"> </w:t>
      </w:r>
      <w:r>
        <w:t xml:space="preserve">“Bridges, Brokers and Boundary Spanners in Collaborative Networks:</w:t>
      </w:r>
      <w:r>
        <w:t xml:space="preserve"> </w:t>
      </w:r>
      <w:r>
        <w:t xml:space="preserve">A</w:t>
      </w:r>
      <w:r>
        <w:t xml:space="preserve"> </w:t>
      </w:r>
      <w:r>
        <w:t xml:space="preserve">Systematic Review.”</w:t>
      </w:r>
      <w:r>
        <w:t xml:space="preserve"> </w:t>
      </w:r>
      <w:r>
        <w:rPr>
          <w:iCs/>
          <w:i/>
        </w:rPr>
        <w:t xml:space="preserve">BMC Health Services Research</w:t>
      </w:r>
      <w:r>
        <w:t xml:space="preserve"> </w:t>
      </w:r>
      <w:r>
        <w:t xml:space="preserve">13 (April): 158.</w:t>
      </w:r>
      <w:r>
        <w:t xml:space="preserve"> </w:t>
      </w:r>
      <w:hyperlink r:id="rId133">
        <w:r>
          <w:rPr>
            <w:rStyle w:val="Hyperlink"/>
          </w:rPr>
          <w:t xml:space="preserve">https://doi.org/10.1186/1472-6963-13-158</w:t>
        </w:r>
      </w:hyperlink>
      <w:r>
        <w:t xml:space="preserve">.</w:t>
      </w:r>
    </w:p>
    <w:bookmarkEnd w:id="134"/>
    <w:bookmarkStart w:id="136" w:name="X642fdc2e2dbc2f1cd34214aa47693be6a02f538"/>
    <w:p>
      <w:pPr>
        <w:pStyle w:val="Bibliography"/>
      </w:pPr>
      <w:r>
        <w:t xml:space="preserve">Luger, Tana M., Alison B. Hamilton, and Gala True. 2020.</w:t>
      </w:r>
      <w:r>
        <w:t xml:space="preserve"> </w:t>
      </w:r>
      <w:r>
        <w:t xml:space="preserve">“Measuring</w:t>
      </w:r>
      <w:r>
        <w:t xml:space="preserve"> </w:t>
      </w:r>
      <w:r>
        <w:t xml:space="preserve">Community-Engaged Research Contexts</w:t>
      </w:r>
      <w:r>
        <w:t xml:space="preserve">,</w:t>
      </w:r>
      <w:r>
        <w:t xml:space="preserve"> </w:t>
      </w:r>
      <w:r>
        <w:t xml:space="preserve">Processes</w:t>
      </w:r>
      <w:r>
        <w:t xml:space="preserve">, and</w:t>
      </w:r>
      <w:r>
        <w:t xml:space="preserve"> </w:t>
      </w:r>
      <w:r>
        <w:t xml:space="preserve">Outcomes</w:t>
      </w:r>
      <w:r>
        <w:t xml:space="preserve">:</w:t>
      </w:r>
      <w:r>
        <w:t xml:space="preserve"> </w:t>
      </w:r>
      <w:r>
        <w:t xml:space="preserve">A Mapping Review</w:t>
      </w:r>
      <w:r>
        <w:t xml:space="preserve">.”</w:t>
      </w:r>
      <w:r>
        <w:t xml:space="preserve"> </w:t>
      </w:r>
      <w:r>
        <w:rPr>
          <w:iCs/>
          <w:i/>
        </w:rPr>
        <w:t xml:space="preserve">The Milbank Quarterly</w:t>
      </w:r>
      <w:r>
        <w:t xml:space="preserve"> </w:t>
      </w:r>
      <w:r>
        <w:t xml:space="preserve">98 (2): 493–553.</w:t>
      </w:r>
      <w:r>
        <w:t xml:space="preserve"> </w:t>
      </w:r>
      <w:hyperlink r:id="rId135">
        <w:r>
          <w:rPr>
            <w:rStyle w:val="Hyperlink"/>
          </w:rPr>
          <w:t xml:space="preserve">https://doi.org/10.1111/1468-0009.12458</w:t>
        </w:r>
      </w:hyperlink>
      <w:r>
        <w:t xml:space="preserve">.</w:t>
      </w:r>
    </w:p>
    <w:bookmarkEnd w:id="136"/>
    <w:bookmarkStart w:id="138" w:name="ref-mcchesneyWhyYouShould2020"/>
    <w:p>
      <w:pPr>
        <w:pStyle w:val="Bibliography"/>
      </w:pPr>
      <w:r>
        <w:t xml:space="preserve">McChesney, Jasper. 2020.</w:t>
      </w:r>
      <w:r>
        <w:t xml:space="preserve"> </w:t>
      </w:r>
      <w:r>
        <w:t xml:space="preserve">“Why You Should Summarize Your Data with the Geometric Mean.”</w:t>
      </w:r>
      <w:r>
        <w:t xml:space="preserve"> </w:t>
      </w:r>
      <w:r>
        <w:t xml:space="preserve">Medium. October 16, 2020.</w:t>
      </w:r>
      <w:r>
        <w:t xml:space="preserve"> </w:t>
      </w:r>
      <w:hyperlink r:id="rId137">
        <w:r>
          <w:rPr>
            <w:rStyle w:val="Hyperlink"/>
          </w:rPr>
          <w:t xml:space="preserve">https://jlmc.medium.com/understanding-three-simple-statistics-for-data-visualizations-2619dbb3677a</w:t>
        </w:r>
      </w:hyperlink>
      <w:r>
        <w:t xml:space="preserve">.</w:t>
      </w:r>
    </w:p>
    <w:bookmarkEnd w:id="138"/>
    <w:bookmarkStart w:id="140" w:name="ref-mcnicholAverageYouRe2022"/>
    <w:p>
      <w:pPr>
        <w:pStyle w:val="Bibliography"/>
      </w:pPr>
      <w:r>
        <w:t xml:space="preserve">McNichol, Daniel. 2022.</w:t>
      </w:r>
      <w:r>
        <w:t xml:space="preserve"> </w:t>
      </w:r>
      <w:r>
        <w:t xml:space="preserve">“On</w:t>
      </w:r>
      <w:r>
        <w:t xml:space="preserve"> </w:t>
      </w:r>
      <w:r>
        <w:t xml:space="preserve">Average</w:t>
      </w:r>
      <w:r>
        <w:t xml:space="preserve">,</w:t>
      </w:r>
      <w:r>
        <w:t xml:space="preserve"> </w:t>
      </w:r>
      <w:r>
        <w:t xml:space="preserve">You</w:t>
      </w:r>
      <w:r>
        <w:t xml:space="preserve">’re</w:t>
      </w:r>
      <w:r>
        <w:t xml:space="preserve"> </w:t>
      </w:r>
      <w:r>
        <w:t xml:space="preserve">Using</w:t>
      </w:r>
      <w:r>
        <w:t xml:space="preserve"> </w:t>
      </w:r>
      <w:r>
        <w:t xml:space="preserve">the</w:t>
      </w:r>
      <w:r>
        <w:t xml:space="preserve"> </w:t>
      </w:r>
      <w:r>
        <w:t xml:space="preserve">Wrong Average</w:t>
      </w:r>
      <w:r>
        <w:t xml:space="preserve">:</w:t>
      </w:r>
      <w:r>
        <w:t xml:space="preserve"> </w:t>
      </w:r>
      <w:r>
        <w:t xml:space="preserve">Geometric</w:t>
      </w:r>
      <w:r>
        <w:t xml:space="preserve"> </w:t>
      </w:r>
      <w:r>
        <w:t xml:space="preserve">&amp;</w:t>
      </w:r>
      <w:r>
        <w:t xml:space="preserve"> </w:t>
      </w:r>
      <w:r>
        <w:t xml:space="preserve">Harmonic Means</w:t>
      </w:r>
      <w:r>
        <w:t xml:space="preserve"> </w:t>
      </w:r>
      <w:r>
        <w:t xml:space="preserve">in</w:t>
      </w:r>
      <w:r>
        <w:t xml:space="preserve"> </w:t>
      </w:r>
      <w:r>
        <w:t xml:space="preserve">Data Analysis</w:t>
      </w:r>
      <w:r>
        <w:t xml:space="preserve">.”</w:t>
      </w:r>
      <w:r>
        <w:t xml:space="preserve"> </w:t>
      </w:r>
      <w:r>
        <w:t xml:space="preserve">Medium. January 24, 2022.</w:t>
      </w:r>
      <w:r>
        <w:t xml:space="preserve"> </w:t>
      </w:r>
      <w:hyperlink r:id="rId139">
        <w:r>
          <w:rPr>
            <w:rStyle w:val="Hyperlink"/>
          </w:rPr>
          <w:t xml:space="preserve">https://towardsdatascience.com/on-average-youre-using-the-wrong-average-geometric-harmonic-means-in-data-analysis-2a703e21ea0</w:t>
        </w:r>
      </w:hyperlink>
      <w:r>
        <w:t xml:space="preserve">.</w:t>
      </w:r>
    </w:p>
    <w:bookmarkEnd w:id="140"/>
    <w:bookmarkStart w:id="142" w:name="X94903ee034c6160dd48a8f8312c72c314f5e375"/>
    <w:p>
      <w:pPr>
        <w:pStyle w:val="Bibliography"/>
      </w:pPr>
      <w:r>
        <w:t xml:space="preserve">Moreno-Bote, Rubén, Jorge Ramírez-Ruiz, Jan Drugowitsch, and Benjamin Y. Hayden. 2020.</w:t>
      </w:r>
      <w:r>
        <w:t xml:space="preserve"> </w:t>
      </w:r>
      <w:r>
        <w:t xml:space="preserve">“Heuristics and Optimal Solutions to the Breadth–Depth Dilemma.”</w:t>
      </w:r>
      <w:r>
        <w:t xml:space="preserve"> </w:t>
      </w:r>
      <w:r>
        <w:rPr>
          <w:iCs/>
          <w:i/>
        </w:rPr>
        <w:t xml:space="preserve">Proceedings of the National Academy of Sciences</w:t>
      </w:r>
      <w:r>
        <w:t xml:space="preserve"> </w:t>
      </w:r>
      <w:r>
        <w:t xml:space="preserve">117 (33): 19799–808.</w:t>
      </w:r>
      <w:r>
        <w:t xml:space="preserve"> </w:t>
      </w:r>
      <w:hyperlink r:id="rId141">
        <w:r>
          <w:rPr>
            <w:rStyle w:val="Hyperlink"/>
          </w:rPr>
          <w:t xml:space="preserve">https://doi.org/10.1073/pnas.2004929117</w:t>
        </w:r>
      </w:hyperlink>
      <w:r>
        <w:t xml:space="preserve">.</w:t>
      </w:r>
    </w:p>
    <w:bookmarkEnd w:id="142"/>
    <w:bookmarkStart w:id="144" w:name="Xeb10c9ffdaa4fcee8617bea7910240bc5bd20dd"/>
    <w:p>
      <w:pPr>
        <w:pStyle w:val="Bibliography"/>
      </w:pPr>
      <w:r>
        <w:t xml:space="preserve">Morrison, Emily, and Wendy Wagner. 2017.</w:t>
      </w:r>
      <w:r>
        <w:t xml:space="preserve"> </w:t>
      </w:r>
      <w:r>
        <w:t xml:space="preserve">“Exploring</w:t>
      </w:r>
      <w:r>
        <w:t xml:space="preserve"> </w:t>
      </w:r>
      <w:r>
        <w:t xml:space="preserve">Faculty Perspectives</w:t>
      </w:r>
      <w:r>
        <w:t xml:space="preserve"> </w:t>
      </w:r>
      <w:r>
        <w:t xml:space="preserve">on</w:t>
      </w:r>
      <w:r>
        <w:t xml:space="preserve"> </w:t>
      </w:r>
      <w:r>
        <w:t xml:space="preserve">Community Engaged Scholarship</w:t>
      </w:r>
      <w:r>
        <w:t xml:space="preserve">:</w:t>
      </w:r>
      <w:r>
        <w:t xml:space="preserve"> </w:t>
      </w:r>
      <w:r>
        <w:t xml:space="preserve">The Case</w:t>
      </w:r>
      <w:r>
        <w:t xml:space="preserve"> </w:t>
      </w:r>
      <w:r>
        <w:t xml:space="preserve">for</w:t>
      </w:r>
      <w:r>
        <w:t xml:space="preserve"> </w:t>
      </w:r>
      <w:r>
        <w:t xml:space="preserve">Q Methodology</w:t>
      </w:r>
      <w:r>
        <w:t xml:space="preserve">.”</w:t>
      </w:r>
      <w:r>
        <w:t xml:space="preserve"> </w:t>
      </w:r>
      <w:r>
        <w:rPr>
          <w:iCs/>
          <w:i/>
        </w:rPr>
        <w:t xml:space="preserve">Michigan Journal of Community Service Learning</w:t>
      </w:r>
      <w:r>
        <w:t xml:space="preserve"> </w:t>
      </w:r>
      <w:r>
        <w:t xml:space="preserve">23 (1).</w:t>
      </w:r>
      <w:r>
        <w:t xml:space="preserve"> </w:t>
      </w:r>
      <w:hyperlink r:id="rId143">
        <w:r>
          <w:rPr>
            <w:rStyle w:val="Hyperlink"/>
          </w:rPr>
          <w:t xml:space="preserve">https://doi.org/10.3998/mjcsloa.3239521.0023.101</w:t>
        </w:r>
      </w:hyperlink>
      <w:r>
        <w:t xml:space="preserve">.</w:t>
      </w:r>
    </w:p>
    <w:bookmarkEnd w:id="144"/>
    <w:bookmarkStart w:id="146" w:name="X16c59e8fb765dfb7d0d4caedb2bc811719aad70"/>
    <w:p>
      <w:pPr>
        <w:pStyle w:val="Bibliography"/>
      </w:pPr>
      <w:r>
        <w:t xml:space="preserve">Muhlestein, Benjamin, and Roslynn McCann. 2019.</w:t>
      </w:r>
      <w:r>
        <w:t xml:space="preserve"> </w:t>
      </w:r>
      <w:r>
        <w:t xml:space="preserve">“Assessing</w:t>
      </w:r>
      <w:r>
        <w:t xml:space="preserve"> </w:t>
      </w:r>
      <w:r>
        <w:t xml:space="preserve">Community-Engaged Learning Impacts</w:t>
      </w:r>
      <w:r>
        <w:t xml:space="preserve"> </w:t>
      </w:r>
      <w:r>
        <w:t xml:space="preserve">Using</w:t>
      </w:r>
      <w:r>
        <w:t xml:space="preserve"> </w:t>
      </w:r>
      <w:r>
        <w:t xml:space="preserve">Ripple Effects Mapping</w:t>
      </w:r>
      <w:r>
        <w:t xml:space="preserve">.”</w:t>
      </w:r>
      <w:r>
        <w:t xml:space="preserve"> </w:t>
      </w:r>
      <w:r>
        <w:rPr>
          <w:iCs/>
          <w:i/>
        </w:rPr>
        <w:t xml:space="preserve">Journal on Empowering Teaching Excellence</w:t>
      </w:r>
      <w:r>
        <w:t xml:space="preserve"> </w:t>
      </w:r>
      <w:r>
        <w:t xml:space="preserve">3 (2).</w:t>
      </w:r>
      <w:r>
        <w:t xml:space="preserve"> </w:t>
      </w:r>
      <w:hyperlink r:id="rId145">
        <w:r>
          <w:rPr>
            <w:rStyle w:val="Hyperlink"/>
          </w:rPr>
          <w:t xml:space="preserve">https://doi.org/10.15142/zwmv-4273</w:t>
        </w:r>
      </w:hyperlink>
      <w:r>
        <w:t xml:space="preserve">.</w:t>
      </w:r>
    </w:p>
    <w:bookmarkEnd w:id="146"/>
    <w:bookmarkStart w:id="148" w:name="Xe7a7a64324bccc6f06f30686a9b4b34dc6953a5"/>
    <w:p>
      <w:pPr>
        <w:pStyle w:val="Bibliography"/>
      </w:pPr>
      <w:r>
        <w:t xml:space="preserve">Mukherjee, Nibedita, Aiora Zabala, Jean Huge, Tobias Ochieng Nyumba, Blal Adem Esmail, and William J. Sutherland. 2018.</w:t>
      </w:r>
      <w:r>
        <w:t xml:space="preserve"> </w:t>
      </w:r>
      <w:r>
        <w:t xml:space="preserve">“Comparison of Techniques for Eliciting Views and Judgements in Decision-Making.”</w:t>
      </w:r>
      <w:r>
        <w:t xml:space="preserve"> </w:t>
      </w:r>
      <w:r>
        <w:rPr>
          <w:iCs/>
          <w:i/>
        </w:rPr>
        <w:t xml:space="preserve">Methods in Ecology and Evolution</w:t>
      </w:r>
      <w:r>
        <w:t xml:space="preserve"> </w:t>
      </w:r>
      <w:r>
        <w:t xml:space="preserve">9 (1): 54–63.</w:t>
      </w:r>
      <w:r>
        <w:t xml:space="preserve"> </w:t>
      </w:r>
      <w:hyperlink r:id="rId147">
        <w:r>
          <w:rPr>
            <w:rStyle w:val="Hyperlink"/>
          </w:rPr>
          <w:t xml:space="preserve">https://doi.org/10.1111/2041-210X.12940</w:t>
        </w:r>
      </w:hyperlink>
      <w:r>
        <w:t xml:space="preserve">.</w:t>
      </w:r>
    </w:p>
    <w:bookmarkEnd w:id="148"/>
    <w:bookmarkStart w:id="150" w:name="Xdc40503c0e6b64e59ff88993576ea129f075195"/>
    <w:p>
      <w:pPr>
        <w:pStyle w:val="Bibliography"/>
      </w:pPr>
      <w:r>
        <w:t xml:space="preserve">Purzycki, Benjamin Grant, and Alastair Jamieson-Lane. 2017.</w:t>
      </w:r>
      <w:r>
        <w:t xml:space="preserve"> </w:t>
      </w:r>
      <w:r>
        <w:t xml:space="preserve">“</w:t>
      </w:r>
      <w:r>
        <w:t xml:space="preserve">AnthroTools</w:t>
      </w:r>
      <w:r>
        <w:t xml:space="preserve">:</w:t>
      </w:r>
      <w:r>
        <w:t xml:space="preserve"> </w:t>
      </w:r>
      <w:r>
        <w:t xml:space="preserve">An R Package</w:t>
      </w:r>
      <w:r>
        <w:t xml:space="preserve"> </w:t>
      </w:r>
      <w:r>
        <w:t xml:space="preserve">for</w:t>
      </w:r>
      <w:r>
        <w:t xml:space="preserve"> </w:t>
      </w:r>
      <w:r>
        <w:t xml:space="preserve">Cross-Cultural Ethnographic Data Analysis</w:t>
      </w:r>
      <w:r>
        <w:t xml:space="preserve">.”</w:t>
      </w:r>
      <w:r>
        <w:t xml:space="preserve"> </w:t>
      </w:r>
      <w:r>
        <w:rPr>
          <w:iCs/>
          <w:i/>
        </w:rPr>
        <w:t xml:space="preserve">Cross-Cultural Research</w:t>
      </w:r>
      <w:r>
        <w:t xml:space="preserve"> </w:t>
      </w:r>
      <w:r>
        <w:t xml:space="preserve">51 (1): 51–74.</w:t>
      </w:r>
      <w:r>
        <w:t xml:space="preserve"> </w:t>
      </w:r>
      <w:hyperlink r:id="rId149">
        <w:r>
          <w:rPr>
            <w:rStyle w:val="Hyperlink"/>
          </w:rPr>
          <w:t xml:space="preserve">https://doi.org/10.1177/1069397116680352</w:t>
        </w:r>
      </w:hyperlink>
      <w:r>
        <w:t xml:space="preserve">.</w:t>
      </w:r>
    </w:p>
    <w:bookmarkEnd w:id="150"/>
    <w:bookmarkStart w:id="152" w:name="ref-quinlanFreelistingMethod2018"/>
    <w:p>
      <w:pPr>
        <w:pStyle w:val="Bibliography"/>
      </w:pPr>
      <w:r>
        <w:t xml:space="preserve">Quinlan, Marsha B. 2018.</w:t>
      </w:r>
      <w:r>
        <w:t xml:space="preserve"> </w:t>
      </w:r>
      <w:r>
        <w:t xml:space="preserve">“The</w:t>
      </w:r>
      <w:r>
        <w:t xml:space="preserve"> </w:t>
      </w:r>
      <w:r>
        <w:t xml:space="preserve">Freelisting Method</w:t>
      </w:r>
      <w:r>
        <w:t xml:space="preserve">.”</w:t>
      </w:r>
      <w:r>
        <w:t xml:space="preserve"> </w:t>
      </w:r>
      <w:r>
        <w:t xml:space="preserve">In</w:t>
      </w:r>
      <w:r>
        <w:t xml:space="preserve"> </w:t>
      </w:r>
      <w:r>
        <w:rPr>
          <w:iCs/>
          <w:i/>
        </w:rPr>
        <w:t xml:space="preserve">Handbook of</w:t>
      </w:r>
      <w:r>
        <w:rPr>
          <w:iCs/>
          <w:i/>
        </w:rPr>
        <w:t xml:space="preserve"> </w:t>
      </w:r>
      <w:r>
        <w:rPr>
          <w:iCs/>
          <w:i/>
        </w:rPr>
        <w:t xml:space="preserve">Research Methods</w:t>
      </w:r>
      <w:r>
        <w:rPr>
          <w:iCs/>
          <w:i/>
        </w:rPr>
        <w:t xml:space="preserve"> </w:t>
      </w:r>
      <w:r>
        <w:rPr>
          <w:iCs/>
          <w:i/>
        </w:rPr>
        <w:t xml:space="preserve">in</w:t>
      </w:r>
      <w:r>
        <w:rPr>
          <w:iCs/>
          <w:i/>
        </w:rPr>
        <w:t xml:space="preserve"> </w:t>
      </w:r>
      <w:r>
        <w:rPr>
          <w:iCs/>
          <w:i/>
        </w:rPr>
        <w:t xml:space="preserve">Health Social Sciences</w:t>
      </w:r>
      <w:r>
        <w:t xml:space="preserve">, edited by Pranee Liamputtong, 1–16. Singapore: Springer Singapore.</w:t>
      </w:r>
      <w:r>
        <w:t xml:space="preserve"> </w:t>
      </w:r>
      <w:hyperlink r:id="rId151">
        <w:r>
          <w:rPr>
            <w:rStyle w:val="Hyperlink"/>
          </w:rPr>
          <w:t xml:space="preserve">https://doi.org/10.1007/978-981-10-2779-6_12-2</w:t>
        </w:r>
      </w:hyperlink>
      <w:r>
        <w:t xml:space="preserve">.</w:t>
      </w:r>
    </w:p>
    <w:bookmarkEnd w:id="152"/>
    <w:bookmarkStart w:id="154" w:name="Xd841dbedbcea7d33f998e1a2a01204453f5238f"/>
    <w:p>
      <w:pPr>
        <w:pStyle w:val="Bibliography"/>
      </w:pPr>
      <w:r>
        <w:t xml:space="preserve">Reed, Richard. 2015.</w:t>
      </w:r>
      <w:r>
        <w:t xml:space="preserve"> </w:t>
      </w:r>
      <w:r>
        <w:t xml:space="preserve">“Program Evaluation as Community-Engaged Research:</w:t>
      </w:r>
      <w:r>
        <w:t xml:space="preserve"> </w:t>
      </w:r>
      <w:r>
        <w:t xml:space="preserve">Challenges</w:t>
      </w:r>
      <w:r>
        <w:t xml:space="preserve"> </w:t>
      </w:r>
      <w:r>
        <w:t xml:space="preserve">and Solutions.”</w:t>
      </w:r>
      <w:r>
        <w:t xml:space="preserve"> </w:t>
      </w:r>
      <w:r>
        <w:rPr>
          <w:iCs/>
          <w:i/>
        </w:rPr>
        <w:t xml:space="preserve">Gateways: International Journal of Community Research and Engagement</w:t>
      </w:r>
      <w:r>
        <w:t xml:space="preserve"> </w:t>
      </w:r>
      <w:r>
        <w:t xml:space="preserve">8 (1): 118–38.</w:t>
      </w:r>
      <w:r>
        <w:t xml:space="preserve"> </w:t>
      </w:r>
      <w:hyperlink r:id="rId153">
        <w:r>
          <w:rPr>
            <w:rStyle w:val="Hyperlink"/>
          </w:rPr>
          <w:t xml:space="preserve">https://doi.org/10.5130/ijcre.v8i1.4105</w:t>
        </w:r>
      </w:hyperlink>
      <w:r>
        <w:t xml:space="preserve">.</w:t>
      </w:r>
    </w:p>
    <w:bookmarkEnd w:id="154"/>
    <w:bookmarkStart w:id="156" w:name="ref-robertsonQTIPQMethodTesting"/>
    <w:p>
      <w:pPr>
        <w:pStyle w:val="Bibliography"/>
      </w:pPr>
      <w:r>
        <w:t xml:space="preserve">Robertson, Morgan, Eric Nost, and Rebecca Lave. n.d.</w:t>
      </w:r>
      <w:r>
        <w:t xml:space="preserve"> </w:t>
      </w:r>
      <w:r>
        <w:t xml:space="preserve">“Q-</w:t>
      </w:r>
      <w:r>
        <w:t xml:space="preserve">TIP</w:t>
      </w:r>
      <w:r>
        <w:t xml:space="preserve">:</w:t>
      </w:r>
      <w:r>
        <w:t xml:space="preserve"> </w:t>
      </w:r>
      <w:r>
        <w:t xml:space="preserve">Q-Method Testing</w:t>
      </w:r>
      <w:r>
        <w:t xml:space="preserve"> </w:t>
      </w:r>
      <w:r>
        <w:t xml:space="preserve">and</w:t>
      </w:r>
      <w:r>
        <w:t xml:space="preserve"> </w:t>
      </w:r>
      <w:r>
        <w:t xml:space="preserve">Inquiry Platform</w:t>
      </w:r>
      <w:r>
        <w:t xml:space="preserve">.”</w:t>
      </w:r>
      <w:r>
        <w:t xml:space="preserve"> </w:t>
      </w:r>
      <w:r>
        <w:t xml:space="preserve">Q-TIP: Q-Method Testing; Inquiry Platform. Accessed August 19, 2024.</w:t>
      </w:r>
      <w:r>
        <w:t xml:space="preserve"> </w:t>
      </w:r>
      <w:hyperlink r:id="rId155">
        <w:r>
          <w:rPr>
            <w:rStyle w:val="Hyperlink"/>
          </w:rPr>
          <w:t xml:space="preserve">https://qtip.geography.wisc.edu/#/</w:t>
        </w:r>
      </w:hyperlink>
      <w:r>
        <w:t xml:space="preserve">.</w:t>
      </w:r>
    </w:p>
    <w:bookmarkEnd w:id="156"/>
    <w:bookmarkStart w:id="158" w:name="X3bb0f9a2d29099eddb394f4e47a3190dfd470b9"/>
    <w:p>
      <w:pPr>
        <w:pStyle w:val="Bibliography"/>
      </w:pPr>
      <w:r>
        <w:t xml:space="preserve">Schulz, Amy J., Barbara A. Israel, and Paula Lantz. 2003.</w:t>
      </w:r>
      <w:r>
        <w:t xml:space="preserve"> </w:t>
      </w:r>
      <w:r>
        <w:t xml:space="preserve">“Instrument for Evaluating Dimensions of Group Dynamics Within Community-Based Participatory Research Partnerships.”</w:t>
      </w:r>
      <w:r>
        <w:t xml:space="preserve"> </w:t>
      </w:r>
      <w:r>
        <w:rPr>
          <w:iCs/>
          <w:i/>
        </w:rPr>
        <w:t xml:space="preserve">Evaluation and Program Planning</w:t>
      </w:r>
      <w:r>
        <w:t xml:space="preserve"> </w:t>
      </w:r>
      <w:r>
        <w:t xml:space="preserve">26 (3): 249–62.</w:t>
      </w:r>
      <w:r>
        <w:t xml:space="preserve"> </w:t>
      </w:r>
      <w:hyperlink r:id="rId157">
        <w:r>
          <w:rPr>
            <w:rStyle w:val="Hyperlink"/>
          </w:rPr>
          <w:t xml:space="preserve">https://doi.org/10.1016/S0149-7189(03)00029-6</w:t>
        </w:r>
      </w:hyperlink>
      <w:r>
        <w:t xml:space="preserve">.</w:t>
      </w:r>
    </w:p>
    <w:bookmarkEnd w:id="158"/>
    <w:bookmarkStart w:id="160" w:name="Xb6039d5594b8fa8077aa9363a08f35aca408d37"/>
    <w:p>
      <w:pPr>
        <w:pStyle w:val="Bibliography"/>
      </w:pPr>
      <w:r>
        <w:t xml:space="preserve">Shephard, Kerry, Kim Brown, Tess Guiney, and Lynley Deaker. 2018.</w:t>
      </w:r>
      <w:r>
        <w:t xml:space="preserve"> </w:t>
      </w:r>
      <w:r>
        <w:t xml:space="preserve">“Valuing and Evaluating Community-Engaged Scholarship.”</w:t>
      </w:r>
      <w:r>
        <w:t xml:space="preserve"> </w:t>
      </w:r>
      <w:r>
        <w:rPr>
          <w:iCs/>
          <w:i/>
        </w:rPr>
        <w:t xml:space="preserve">Tertiary Education and Management</w:t>
      </w:r>
      <w:r>
        <w:t xml:space="preserve"> </w:t>
      </w:r>
      <w:r>
        <w:t xml:space="preserve">24 (1): 83–94.</w:t>
      </w:r>
      <w:r>
        <w:t xml:space="preserve"> </w:t>
      </w:r>
      <w:hyperlink r:id="rId159">
        <w:r>
          <w:rPr>
            <w:rStyle w:val="Hyperlink"/>
          </w:rPr>
          <w:t xml:space="preserve">https://doi.org/10.1080/13583883.2017.1395904</w:t>
        </w:r>
      </w:hyperlink>
      <w:r>
        <w:t xml:space="preserve">.</w:t>
      </w:r>
    </w:p>
    <w:bookmarkEnd w:id="160"/>
    <w:bookmarkStart w:id="162" w:name="ref-smithSalienceCountsandDoes1997"/>
    <w:p>
      <w:pPr>
        <w:pStyle w:val="Bibliography"/>
      </w:pPr>
      <w:r>
        <w:t xml:space="preserve">Smith, J. Jerome, and Stephen P. Borgatti. 1997.</w:t>
      </w:r>
      <w:r>
        <w:t xml:space="preserve"> </w:t>
      </w:r>
      <w:r>
        <w:t xml:space="preserve">“Salience Counts-and so Does Accuracy:</w:t>
      </w:r>
      <w:r>
        <w:t xml:space="preserve"> </w:t>
      </w:r>
      <w:r>
        <w:t xml:space="preserve">Correcting</w:t>
      </w:r>
      <w:r>
        <w:t xml:space="preserve"> </w:t>
      </w:r>
      <w:r>
        <w:t xml:space="preserve">and Updating a Measure for Free-List-Item Salience.”</w:t>
      </w:r>
      <w:r>
        <w:t xml:space="preserve"> </w:t>
      </w:r>
      <w:r>
        <w:rPr>
          <w:iCs/>
          <w:i/>
        </w:rPr>
        <w:t xml:space="preserve">Journal of Linguistic Anthropology</w:t>
      </w:r>
      <w:r>
        <w:t xml:space="preserve"> </w:t>
      </w:r>
      <w:r>
        <w:t xml:space="preserve">7: 208–9.</w:t>
      </w:r>
      <w:r>
        <w:t xml:space="preserve"> </w:t>
      </w:r>
      <w:hyperlink r:id="rId161">
        <w:r>
          <w:rPr>
            <w:rStyle w:val="Hyperlink"/>
          </w:rPr>
          <w:t xml:space="preserve">https://doi.org/10.1525/jlin.1997.7.2.208</w:t>
        </w:r>
      </w:hyperlink>
      <w:r>
        <w:t xml:space="preserve">.</w:t>
      </w:r>
    </w:p>
    <w:bookmarkEnd w:id="162"/>
    <w:bookmarkStart w:id="164" w:name="ref-southEffectiveUseLikert2022"/>
    <w:p>
      <w:pPr>
        <w:pStyle w:val="Bibliography"/>
      </w:pPr>
      <w:r>
        <w:t xml:space="preserve">South, Laura, David Saffo, Olga Vitek, Cody Dunne, and Michelle A. Borkin. 2022.</w:t>
      </w:r>
      <w:r>
        <w:t xml:space="preserve"> </w:t>
      </w:r>
      <w:r>
        <w:t xml:space="preserve">“Effective</w:t>
      </w:r>
      <w:r>
        <w:t xml:space="preserve"> </w:t>
      </w:r>
      <w:r>
        <w:t xml:space="preserve">Use</w:t>
      </w:r>
      <w:r>
        <w:t xml:space="preserve"> </w:t>
      </w:r>
      <w:r>
        <w:t xml:space="preserve">of</w:t>
      </w:r>
      <w:r>
        <w:t xml:space="preserve"> </w:t>
      </w:r>
      <w:r>
        <w:t xml:space="preserve">Likert Scales</w:t>
      </w:r>
      <w:r>
        <w:t xml:space="preserve"> </w:t>
      </w:r>
      <w:r>
        <w:t xml:space="preserve">in</w:t>
      </w:r>
      <w:r>
        <w:t xml:space="preserve"> </w:t>
      </w:r>
      <w:r>
        <w:t xml:space="preserve">Visualization Evaluations</w:t>
      </w:r>
      <w:r>
        <w:t xml:space="preserve">:</w:t>
      </w:r>
      <w:r>
        <w:t xml:space="preserve"> </w:t>
      </w:r>
      <w:r>
        <w:t xml:space="preserve">A Systematic Review</w:t>
      </w:r>
      <w:r>
        <w:t xml:space="preserve">.”</w:t>
      </w:r>
      <w:r>
        <w:t xml:space="preserve"> </w:t>
      </w:r>
      <w:r>
        <w:rPr>
          <w:iCs/>
          <w:i/>
        </w:rPr>
        <w:t xml:space="preserve">Computer Graphics Forum</w:t>
      </w:r>
      <w:r>
        <w:t xml:space="preserve"> </w:t>
      </w:r>
      <w:r>
        <w:t xml:space="preserve">41 (3): 43–55.</w:t>
      </w:r>
      <w:r>
        <w:t xml:space="preserve"> </w:t>
      </w:r>
      <w:hyperlink r:id="rId163">
        <w:r>
          <w:rPr>
            <w:rStyle w:val="Hyperlink"/>
          </w:rPr>
          <w:t xml:space="preserve">https://doi.org/10.1111/cgf.14521</w:t>
        </w:r>
      </w:hyperlink>
      <w:r>
        <w:t xml:space="preserve">.</w:t>
      </w:r>
    </w:p>
    <w:bookmarkEnd w:id="164"/>
    <w:bookmarkStart w:id="166" w:name="X49453c0545b7de7f14f10cad417b18342e49481"/>
    <w:p>
      <w:pPr>
        <w:pStyle w:val="Bibliography"/>
      </w:pPr>
      <w:r>
        <w:t xml:space="preserve">Team, R Core. 2022.</w:t>
      </w:r>
      <w:r>
        <w:t xml:space="preserve"> </w:t>
      </w:r>
      <w:r>
        <w:t xml:space="preserve">“R:</w:t>
      </w:r>
      <w:r>
        <w:t xml:space="preserve"> </w:t>
      </w:r>
      <w:r>
        <w:t xml:space="preserve">A 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w:t>
      </w:r>
      <w:r>
        <w:t xml:space="preserve"> </w:t>
      </w:r>
      <w:r>
        <w:t xml:space="preserve">Vienna, Austria: R Foundation for Statistical Computing.</w:t>
      </w:r>
      <w:r>
        <w:t xml:space="preserve"> </w:t>
      </w:r>
      <w:hyperlink r:id="rId165">
        <w:r>
          <w:rPr>
            <w:rStyle w:val="Hyperlink"/>
          </w:rPr>
          <w:t xml:space="preserve">https://www.R-project.org/</w:t>
        </w:r>
      </w:hyperlink>
      <w:r>
        <w:t xml:space="preserve">.</w:t>
      </w:r>
    </w:p>
    <w:bookmarkEnd w:id="166"/>
    <w:bookmarkStart w:id="168" w:name="Xd6519955a691fcaa0417cc9bb58a901139d6c66"/>
    <w:p>
      <w:pPr>
        <w:pStyle w:val="Bibliography"/>
      </w:pPr>
      <w:r>
        <w:t xml:space="preserve">Wallerstein, Nina, and Bonnie Duran. 2010.</w:t>
      </w:r>
      <w:r>
        <w:t xml:space="preserve"> </w:t>
      </w:r>
      <w:r>
        <w:t xml:space="preserve">“Community-</w:t>
      </w:r>
      <w:r>
        <w:t xml:space="preserve">Based Participatory Research Contributions</w:t>
      </w:r>
      <w:r>
        <w:t xml:space="preserve"> </w:t>
      </w:r>
      <w:r>
        <w:t xml:space="preserve">to</w:t>
      </w:r>
      <w:r>
        <w:t xml:space="preserve"> </w:t>
      </w:r>
      <w:r>
        <w:t xml:space="preserve">Intervention Research</w:t>
      </w:r>
      <w:r>
        <w:t xml:space="preserve">:</w:t>
      </w:r>
      <w:r>
        <w:t xml:space="preserve"> </w:t>
      </w:r>
      <w:r>
        <w:t xml:space="preserve">The Intersection</w:t>
      </w:r>
      <w:r>
        <w:t xml:space="preserve"> </w:t>
      </w:r>
      <w:r>
        <w:t xml:space="preserve">of</w:t>
      </w:r>
      <w:r>
        <w:t xml:space="preserve"> </w:t>
      </w:r>
      <w:r>
        <w:t xml:space="preserve">Science</w:t>
      </w:r>
      <w:r>
        <w:t xml:space="preserve"> </w:t>
      </w:r>
      <w:r>
        <w:t xml:space="preserve">and</w:t>
      </w:r>
      <w:r>
        <w:t xml:space="preserve"> </w:t>
      </w:r>
      <w:r>
        <w:t xml:space="preserve">Practice</w:t>
      </w:r>
      <w:r>
        <w:t xml:space="preserve"> </w:t>
      </w:r>
      <w:r>
        <w:t xml:space="preserve">to</w:t>
      </w:r>
      <w:r>
        <w:t xml:space="preserve"> </w:t>
      </w:r>
      <w:r>
        <w:t xml:space="preserve">Improve Health Equity</w:t>
      </w:r>
      <w:r>
        <w:t xml:space="preserve">.”</w:t>
      </w:r>
      <w:r>
        <w:t xml:space="preserve"> </w:t>
      </w:r>
      <w:r>
        <w:rPr>
          <w:iCs/>
          <w:i/>
        </w:rPr>
        <w:t xml:space="preserve">American Journal of Public Health</w:t>
      </w:r>
      <w:r>
        <w:t xml:space="preserve"> </w:t>
      </w:r>
      <w:r>
        <w:t xml:space="preserve">100 (S1): S40–46.</w:t>
      </w:r>
      <w:r>
        <w:t xml:space="preserve"> </w:t>
      </w:r>
      <w:hyperlink r:id="rId167">
        <w:r>
          <w:rPr>
            <w:rStyle w:val="Hyperlink"/>
          </w:rPr>
          <w:t xml:space="preserve">https://doi.org/10.2105/AJPH.2009.184036</w:t>
        </w:r>
      </w:hyperlink>
      <w:r>
        <w:t xml:space="preserve">.</w:t>
      </w:r>
    </w:p>
    <w:bookmarkEnd w:id="168"/>
    <w:bookmarkStart w:id="170" w:name="ref-wallersteinEngageEquityLongTerm2020"/>
    <w:p>
      <w:pPr>
        <w:pStyle w:val="Bibliography"/>
      </w:pPr>
      <w:r>
        <w:t xml:space="preserve">Wallerstein, Nina, John G. Oetzel, Shannon Sanchez-Youngman, Blake Boursaw, Elizabeth Dickson, Sarah Kastelic, Paul Koegel, et al. 2020.</w:t>
      </w:r>
      <w:r>
        <w:t xml:space="preserve"> </w:t>
      </w:r>
      <w:r>
        <w:t xml:space="preserve">“Engage for</w:t>
      </w:r>
      <w:r>
        <w:t xml:space="preserve"> </w:t>
      </w:r>
      <w:r>
        <w:t xml:space="preserve">Equity</w:t>
      </w:r>
      <w:r>
        <w:t xml:space="preserve">:</w:t>
      </w:r>
      <w:r>
        <w:t xml:space="preserve"> </w:t>
      </w:r>
      <w:r>
        <w:t xml:space="preserve">A Long-Term Study</w:t>
      </w:r>
      <w:r>
        <w:t xml:space="preserve"> </w:t>
      </w:r>
      <w:r>
        <w:t xml:space="preserve">of</w:t>
      </w:r>
      <w:r>
        <w:t xml:space="preserve"> </w:t>
      </w:r>
      <w:r>
        <w:t xml:space="preserve">Community-Based Participatory Research</w:t>
      </w:r>
      <w:r>
        <w:t xml:space="preserve"> </w:t>
      </w:r>
      <w:r>
        <w:t xml:space="preserve">and</w:t>
      </w:r>
      <w:r>
        <w:t xml:space="preserve"> </w:t>
      </w:r>
      <w:r>
        <w:t xml:space="preserve">Community-Engaged Research Practices</w:t>
      </w:r>
      <w:r>
        <w:t xml:space="preserve"> </w:t>
      </w:r>
      <w:r>
        <w:t xml:space="preserve">and</w:t>
      </w:r>
      <w:r>
        <w:t xml:space="preserve"> </w:t>
      </w:r>
      <w:r>
        <w:t xml:space="preserve">Outcomes</w:t>
      </w:r>
      <w:r>
        <w:t xml:space="preserve">.”</w:t>
      </w:r>
      <w:r>
        <w:t xml:space="preserve"> </w:t>
      </w:r>
      <w:r>
        <w:rPr>
          <w:iCs/>
          <w:i/>
        </w:rPr>
        <w:t xml:space="preserve">Health Education &amp; Behavior</w:t>
      </w:r>
      <w:r>
        <w:t xml:space="preserve"> </w:t>
      </w:r>
      <w:r>
        <w:t xml:space="preserve">47 (3): 380–90.</w:t>
      </w:r>
      <w:r>
        <w:t xml:space="preserve"> </w:t>
      </w:r>
      <w:hyperlink r:id="rId169">
        <w:r>
          <w:rPr>
            <w:rStyle w:val="Hyperlink"/>
          </w:rPr>
          <w:t xml:space="preserve">https://doi.org/10.1177/1090198119897075</w:t>
        </w:r>
      </w:hyperlink>
      <w:r>
        <w:t xml:space="preserve">.</w:t>
      </w:r>
    </w:p>
    <w:bookmarkEnd w:id="170"/>
    <w:bookmarkStart w:id="172" w:name="ref-wallersteinWhatPredictsOutcomes2008"/>
    <w:p>
      <w:pPr>
        <w:pStyle w:val="Bibliography"/>
      </w:pPr>
      <w:r>
        <w:t xml:space="preserve">Wallerstein, Nina, John Oetzel, Bonnie Duran, Greg Tafoya, Lorenda Belone, and Rebecca Rae. 2008.</w:t>
      </w:r>
      <w:r>
        <w:t xml:space="preserve"> </w:t>
      </w:r>
      <w:r>
        <w:t xml:space="preserve">“What Predicts Outcomes in</w:t>
      </w:r>
      <w:r>
        <w:t xml:space="preserve"> </w:t>
      </w:r>
      <w:r>
        <w:t xml:space="preserve">CBPR</w:t>
      </w:r>
      <w:r>
        <w:t xml:space="preserve">.”</w:t>
      </w:r>
      <w:r>
        <w:t xml:space="preserve"> </w:t>
      </w:r>
      <w:r>
        <w:rPr>
          <w:iCs/>
          <w:i/>
        </w:rPr>
        <w:t xml:space="preserve">Community-Based Participatory Research for Health: From Process to Outcomes</w:t>
      </w:r>
      <w:r>
        <w:t xml:space="preserve"> </w:t>
      </w:r>
      <w:r>
        <w:t xml:space="preserve">2: 371–92.</w:t>
      </w:r>
      <w:r>
        <w:t xml:space="preserve"> </w:t>
      </w:r>
      <w:hyperlink r:id="rId171">
        <w:r>
          <w:rPr>
            <w:rStyle w:val="Hyperlink"/>
          </w:rPr>
          <w:t xml:space="preserve">https://www.researchgate.net/profile/Nina-Wallerstein/publication/285496812_What_predicts_outcomes_in_CBPR/links/5663556408ae15e746313863/What-predicts-outcomes-in-CBPR.pdf</w:t>
        </w:r>
      </w:hyperlink>
      <w:r>
        <w:t xml:space="preserve">.</w:t>
      </w:r>
    </w:p>
    <w:bookmarkEnd w:id="172"/>
    <w:bookmarkStart w:id="174" w:name="X5b6169c3b5da5169b12205e9e962aeeac0f721e"/>
    <w:p>
      <w:pPr>
        <w:pStyle w:val="Bibliography"/>
      </w:pPr>
      <w:r>
        <w:t xml:space="preserve">Wendling, Lauren Allen. 2023.</w:t>
      </w:r>
      <w:r>
        <w:t xml:space="preserve"> </w:t>
      </w:r>
      <w:r>
        <w:t xml:space="preserve">“Evaluating</w:t>
      </w:r>
      <w:r>
        <w:t xml:space="preserve"> </w:t>
      </w:r>
      <w:r>
        <w:t xml:space="preserve">Community-Engaged Research</w:t>
      </w:r>
      <w:r>
        <w:t xml:space="preserve"> </w:t>
      </w:r>
      <w:r>
        <w:t xml:space="preserve">in</w:t>
      </w:r>
      <w:r>
        <w:t xml:space="preserve"> </w:t>
      </w:r>
      <w:r>
        <w:t xml:space="preserve">Promotion</w:t>
      </w:r>
      <w:r>
        <w:t xml:space="preserve"> </w:t>
      </w:r>
      <w:r>
        <w:t xml:space="preserve">and</w:t>
      </w:r>
      <w:r>
        <w:t xml:space="preserve"> </w:t>
      </w:r>
      <w:r>
        <w:t xml:space="preserve">Tenure</w:t>
      </w:r>
      <w:r>
        <w:t xml:space="preserve">.”</w:t>
      </w:r>
      <w:r>
        <w:t xml:space="preserve"> </w:t>
      </w:r>
      <w:r>
        <w:rPr>
          <w:iCs/>
          <w:i/>
        </w:rPr>
        <w:t xml:space="preserve">Metropolitan Universities</w:t>
      </w:r>
      <w:r>
        <w:t xml:space="preserve"> </w:t>
      </w:r>
      <w:r>
        <w:t xml:space="preserve">34 (5).</w:t>
      </w:r>
      <w:r>
        <w:t xml:space="preserve"> </w:t>
      </w:r>
      <w:hyperlink r:id="rId173">
        <w:r>
          <w:rPr>
            <w:rStyle w:val="Hyperlink"/>
          </w:rPr>
          <w:t xml:space="preserve">https://doi.org/10.18060/26658</w:t>
        </w:r>
      </w:hyperlink>
      <w:r>
        <w:t xml:space="preserve">.</w:t>
      </w:r>
    </w:p>
    <w:bookmarkEnd w:id="174"/>
    <w:bookmarkStart w:id="176" w:name="ref-zimmermanAssessingImpactsRipple2019"/>
    <w:p>
      <w:pPr>
        <w:pStyle w:val="Bibliography"/>
      </w:pPr>
      <w:r>
        <w:t xml:space="preserve">Zimmerman, Emily B., Gwen Corley Creighton, Chimere Miles, Sarah Cook, Amber Haley, Chanel Bea, Andrea Robles, and Alicia Aroche. 2019.</w:t>
      </w:r>
      <w:r>
        <w:t xml:space="preserve"> </w:t>
      </w:r>
      <w:r>
        <w:t xml:space="preserve">“Assessing the</w:t>
      </w:r>
      <w:r>
        <w:t xml:space="preserve"> </w:t>
      </w:r>
      <w:r>
        <w:t xml:space="preserve">Impacts</w:t>
      </w:r>
      <w:r>
        <w:t xml:space="preserve"> </w:t>
      </w:r>
      <w:r>
        <w:t xml:space="preserve">and</w:t>
      </w:r>
      <w:r>
        <w:t xml:space="preserve"> </w:t>
      </w:r>
      <w:r>
        <w:t xml:space="preserve">Ripple Effects</w:t>
      </w:r>
      <w:r>
        <w:t xml:space="preserve"> </w:t>
      </w:r>
      <w:r>
        <w:t xml:space="preserve">of a</w:t>
      </w:r>
      <w:r>
        <w:t xml:space="preserve"> </w:t>
      </w:r>
      <w:r>
        <w:t xml:space="preserve">Community</w:t>
      </w:r>
      <w:r>
        <w:t xml:space="preserve">–</w:t>
      </w:r>
      <w:r>
        <w:t xml:space="preserve">University Partnership</w:t>
      </w:r>
      <w:r>
        <w:t xml:space="preserve">:</w:t>
      </w:r>
      <w:r>
        <w:t xml:space="preserve"> </w:t>
      </w:r>
      <w:r>
        <w:t xml:space="preserve">A Retrospective Roadmap</w:t>
      </w:r>
      <w:r>
        <w:t xml:space="preserve">.”</w:t>
      </w:r>
      <w:r>
        <w:t xml:space="preserve"> </w:t>
      </w:r>
      <w:r>
        <w:rPr>
          <w:iCs/>
          <w:i/>
        </w:rPr>
        <w:t xml:space="preserve">Michigan Journal of Community Service Learning</w:t>
      </w:r>
      <w:r>
        <w:t xml:space="preserve"> </w:t>
      </w:r>
      <w:r>
        <w:t xml:space="preserve">25 (1): 62–76.</w:t>
      </w:r>
      <w:r>
        <w:t xml:space="preserve"> </w:t>
      </w:r>
      <w:hyperlink r:id="rId175">
        <w:r>
          <w:rPr>
            <w:rStyle w:val="Hyperlink"/>
          </w:rPr>
          <w:t xml:space="preserve">https://doi.org/10.3998/mjcsloa.3239521.0025.106</w:t>
        </w:r>
      </w:hyperlink>
      <w:r>
        <w:t xml:space="preserve">.</w:t>
      </w:r>
    </w:p>
    <w:bookmarkEnd w:id="176"/>
    <w:bookmarkEnd w:id="177"/>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Heuristics are</w:t>
      </w:r>
      <w:r>
        <w:t xml:space="preserve"> </w:t>
      </w:r>
      <w:r>
        <w:rPr>
          <w:iCs/>
          <w:i/>
        </w:rPr>
        <w:t xml:space="preserve">cognitive shortcuts</w:t>
      </w:r>
      <w:r>
        <w:t xml:space="preserve"> </w:t>
      </w:r>
      <w:r>
        <w:t xml:space="preserve">that simplify complex information, making it easier to understand and process.</w:t>
      </w:r>
      <w:r>
        <w:t xml:space="preserve"> </w:t>
      </w:r>
      <w:r>
        <w:t xml:space="preserve">(Gates 2018; Moreno-Bote et al. 2020)</w:t>
      </w:r>
      <w:r>
        <w:t xml:space="preserve">.</w:t>
      </w:r>
    </w:p>
  </w:footnote>
  <w:footnote w:id="44">
    <w:p>
      <w:pPr>
        <w:pStyle w:val="FootnoteText"/>
      </w:pPr>
      <w:r>
        <w:rPr>
          <w:rStyle w:val="FootnoteReference"/>
        </w:rPr>
        <w:footnoteRef/>
      </w:r>
      <w:r>
        <w:t xml:space="preserve"> </w:t>
      </w:r>
      <w:r>
        <w:t xml:space="preserve">While service learning is not a component of community engaged research per se, many community engaged scholars adopt an integrated approach to their work, weaving together research, teaching, and service.</w:t>
      </w:r>
    </w:p>
  </w:footnote>
  <w:footnote w:id="60">
    <w:p>
      <w:pPr>
        <w:pStyle w:val="FootnoteText"/>
      </w:pPr>
      <w:r>
        <w:rPr>
          <w:rStyle w:val="FootnoteReference"/>
        </w:rPr>
        <w:footnoteRef/>
      </w:r>
      <w:r>
        <w:t xml:space="preserve"> </w:t>
      </w:r>
      <w:r>
        <w:t xml:space="preserve">The suggestion to use CBPR was made by Mary Price, and I am grateful for her guidance on how to structure these scores.</w:t>
      </w:r>
    </w:p>
  </w:footnote>
  <w:footnote w:id="89">
    <w:p>
      <w:pPr>
        <w:pStyle w:val="FootnoteText"/>
      </w:pPr>
      <w:r>
        <w:rPr>
          <w:rStyle w:val="FootnoteReference"/>
        </w:rPr>
        <w:footnoteRef/>
      </w:r>
      <w:r>
        <w:t xml:space="preserve"> </w:t>
      </w:r>
      <w:r>
        <w:t xml:space="preserve">Only items that received a 3, 2, -2, or -1 were included as these represent</w:t>
      </w:r>
      <w:r>
        <w:t xml:space="preserve"> </w:t>
      </w:r>
      <w:r>
        <w:t xml:space="preserve">“</w:t>
      </w:r>
      <w:r>
        <w:t xml:space="preserve">strong</w:t>
      </w:r>
      <w:r>
        <w:t xml:space="preserve">”</w:t>
      </w:r>
      <w:r>
        <w:t xml:space="preserve"> </w:t>
      </w:r>
      <w:r>
        <w:t xml:space="preserve">rankings.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3" Target="media/rId53.png" /><Relationship Type="http://schemas.openxmlformats.org/officeDocument/2006/relationships/image" Id="rId79" Target="media/rId79.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image" Id="rId24" Target="media/rId24.png" /><Relationship Type="http://schemas.openxmlformats.org/officeDocument/2006/relationships/hyperlink" Id="rId108" Target="http://conservancy.umn.edu/handle/11299/190639" TargetMode="External" /><Relationship Type="http://schemas.openxmlformats.org/officeDocument/2006/relationships/hyperlink" Id="rId38" Target="https://cecollaboratory.com/" TargetMode="External" /><Relationship Type="http://schemas.openxmlformats.org/officeDocument/2006/relationships/hyperlink" Id="rId39" Target="https://consortia.indianapolis.iu.edu/health-equity/index.html" TargetMode="External" /><Relationship Type="http://schemas.openxmlformats.org/officeDocument/2006/relationships/hyperlink" Id="rId113" Target="https://datasketch.dev/post/2020-08-09-how-to-make-spirals-with-r/" TargetMode="External" /><Relationship Type="http://schemas.openxmlformats.org/officeDocument/2006/relationships/hyperlink" Id="rId104" Target="https://doi.org/10.1002/ajcp.12503" TargetMode="External" /><Relationship Type="http://schemas.openxmlformats.org/officeDocument/2006/relationships/hyperlink" Id="rId123" Target="https://doi.org/10.1002/jcop.21828" TargetMode="External" /><Relationship Type="http://schemas.openxmlformats.org/officeDocument/2006/relationships/hyperlink" Id="rId151" Target="https://doi.org/10.1007/978-981-10-2779-6_12-2" TargetMode="External" /><Relationship Type="http://schemas.openxmlformats.org/officeDocument/2006/relationships/hyperlink" Id="rId157" Target="https://doi.org/10.1016/S0149-7189(03)00029-6" TargetMode="External" /><Relationship Type="http://schemas.openxmlformats.org/officeDocument/2006/relationships/hyperlink" Id="rId125" Target="https://doi.org/10.1016/S0263-2373(98)00029-2" TargetMode="External" /><Relationship Type="http://schemas.openxmlformats.org/officeDocument/2006/relationships/hyperlink" Id="rId119" Target="https://doi.org/10.1016/j.pec.2010.07.035" TargetMode="External" /><Relationship Type="http://schemas.openxmlformats.org/officeDocument/2006/relationships/hyperlink" Id="rId141" Target="https://doi.org/10.1073/pnas.2004929117" TargetMode="External" /><Relationship Type="http://schemas.openxmlformats.org/officeDocument/2006/relationships/hyperlink" Id="rId159" Target="https://doi.org/10.1080/13583883.2017.1395904" TargetMode="External" /><Relationship Type="http://schemas.openxmlformats.org/officeDocument/2006/relationships/hyperlink" Id="rId135" Target="https://doi.org/10.1111/1468-0009.12458" TargetMode="External" /><Relationship Type="http://schemas.openxmlformats.org/officeDocument/2006/relationships/hyperlink" Id="rId147" Target="https://doi.org/10.1111/2041-210X.12940" TargetMode="External" /><Relationship Type="http://schemas.openxmlformats.org/officeDocument/2006/relationships/hyperlink" Id="rId163" Target="https://doi.org/10.1111/cgf.14521" TargetMode="External" /><Relationship Type="http://schemas.openxmlformats.org/officeDocument/2006/relationships/hyperlink" Id="rId106" Target="https://doi.org/10.1111/cts.12474" TargetMode="External" /><Relationship Type="http://schemas.openxmlformats.org/officeDocument/2006/relationships/hyperlink" Id="rId102" Target="https://doi.org/10.1177/1049732314557084" TargetMode="External" /><Relationship Type="http://schemas.openxmlformats.org/officeDocument/2006/relationships/hyperlink" Id="rId149" Target="https://doi.org/10.1177/1069397116680352" TargetMode="External" /><Relationship Type="http://schemas.openxmlformats.org/officeDocument/2006/relationships/hyperlink" Id="rId169" Target="https://doi.org/10.1177/1090198119897075" TargetMode="External" /><Relationship Type="http://schemas.openxmlformats.org/officeDocument/2006/relationships/hyperlink" Id="rId121" Target="https://doi.org/10.1177/1098214017703703" TargetMode="External" /><Relationship Type="http://schemas.openxmlformats.org/officeDocument/2006/relationships/hyperlink" Id="rId133" Target="https://doi.org/10.1186/1472-6963-13-158" TargetMode="External" /><Relationship Type="http://schemas.openxmlformats.org/officeDocument/2006/relationships/hyperlink" Id="rId131" Target="https://doi.org/10.1186/s12961-023-01045-y" TargetMode="External" /><Relationship Type="http://schemas.openxmlformats.org/officeDocument/2006/relationships/hyperlink" Id="rId98" Target="https://doi.org/10.1353/cpr.2015.0077" TargetMode="External" /><Relationship Type="http://schemas.openxmlformats.org/officeDocument/2006/relationships/hyperlink" Id="rId127" Target="https://doi.org/10.1353/cpr.2019.0064" TargetMode="External" /><Relationship Type="http://schemas.openxmlformats.org/officeDocument/2006/relationships/hyperlink" Id="rId145" Target="https://doi.org/10.15142/zwmv-4273" TargetMode="External" /><Relationship Type="http://schemas.openxmlformats.org/officeDocument/2006/relationships/hyperlink" Id="rId161" Target="https://doi.org/10.1525/jlin.1997.7.2.208" TargetMode="External" /><Relationship Type="http://schemas.openxmlformats.org/officeDocument/2006/relationships/hyperlink" Id="rId173" Target="https://doi.org/10.18060/26658" TargetMode="External" /><Relationship Type="http://schemas.openxmlformats.org/officeDocument/2006/relationships/hyperlink" Id="rId167" Target="https://doi.org/10.2105/AJPH.2009.184036" TargetMode="External" /><Relationship Type="http://schemas.openxmlformats.org/officeDocument/2006/relationships/hyperlink" Id="rId100" Target="https://doi.org/10.21105/joss.01360" TargetMode="External" /><Relationship Type="http://schemas.openxmlformats.org/officeDocument/2006/relationships/hyperlink" Id="rId96" Target="https://doi.org/10.2307/20787374" TargetMode="External" /><Relationship Type="http://schemas.openxmlformats.org/officeDocument/2006/relationships/hyperlink" Id="rId129" Target="https://doi.org/10.37333/001c.18586" TargetMode="External" /><Relationship Type="http://schemas.openxmlformats.org/officeDocument/2006/relationships/hyperlink" Id="rId143" Target="https://doi.org/10.3998/mjcsloa.3239521.0023.101" TargetMode="External" /><Relationship Type="http://schemas.openxmlformats.org/officeDocument/2006/relationships/hyperlink" Id="rId175" Target="https://doi.org/10.3998/mjcsloa.3239521.0025.106" TargetMode="External" /><Relationship Type="http://schemas.openxmlformats.org/officeDocument/2006/relationships/hyperlink" Id="rId153" Target="https://doi.org/10.5130/ijcre.v8i1.4105" TargetMode="External" /><Relationship Type="http://schemas.openxmlformats.org/officeDocument/2006/relationships/hyperlink" Id="rId111" Target="https://indiana.sharepoint.com/sites/msteams_92d57a/Shared%20Documents/Forms/AllItems.aspx?id=%2Fsites%2Fmsteams%5F92d57a%2FShared%20Documents%2FGeneral%2Fcsl%2FWCMS%20Resources%2Ftres1%2Epdf&amp;parent=%2Fsites%2Fmsteams%5F92d57a%2FShared%20Documents%2FGeneral%2Fcsl%2FWCMS%20Resources&amp;p=true&amp;ga=1" TargetMode="External" /><Relationship Type="http://schemas.openxmlformats.org/officeDocument/2006/relationships/hyperlink" Id="rId137" Target="https://jlmc.medium.com/understanding-three-simple-statistics-for-data-visualizations-2619dbb3677a" TargetMode="External" /><Relationship Type="http://schemas.openxmlformats.org/officeDocument/2006/relationships/hyperlink" Id="rId115" Target="https://openjournals.libs.uga.edu/jheoe/article/view/1159" TargetMode="External" /><Relationship Type="http://schemas.openxmlformats.org/officeDocument/2006/relationships/hyperlink" Id="rId155" Target="https://qtip.geography.wisc.edu/#/" TargetMode="External" /><Relationship Type="http://schemas.openxmlformats.org/officeDocument/2006/relationships/hyperlink" Id="rId86" Target="https://quarto.org" TargetMode="External" /><Relationship Type="http://schemas.openxmlformats.org/officeDocument/2006/relationships/hyperlink" Id="rId139" Target="https://towardsdatascience.com/on-average-youre-using-the-wrong-average-geometric-harmonic-means-in-data-analysis-2a703e21ea0" TargetMode="External" /><Relationship Type="http://schemas.openxmlformats.org/officeDocument/2006/relationships/hyperlink" Id="rId165" Target="https://www.R-project.org/" TargetMode="External" /><Relationship Type="http://schemas.openxmlformats.org/officeDocument/2006/relationships/hyperlink" Id="rId117" Target="https://www.oregon.gov/deq/mm/Documents/recQmethodRep.pdf" TargetMode="External" /><Relationship Type="http://schemas.openxmlformats.org/officeDocument/2006/relationships/hyperlink" Id="rId171" Target="https://www.researchgate.net/profile/Nina-Wallerstein/publication/285496812_What_predicts_outcomes_in_CBPR/links/5663556408ae15e746313863/What-predicts-outcomes-in-CBPR.pdf" TargetMode="External" /></Relationships>
</file>

<file path=word/_rels/footnotes.xml.rels><?xml version="1.0" encoding="UTF-8"?><Relationships xmlns="http://schemas.openxmlformats.org/package/2006/relationships"><Relationship Type="http://schemas.openxmlformats.org/officeDocument/2006/relationships/hyperlink" Id="rId108" Target="http://conservancy.umn.edu/handle/11299/190639" TargetMode="External" /><Relationship Type="http://schemas.openxmlformats.org/officeDocument/2006/relationships/hyperlink" Id="rId38" Target="https://cecollaboratory.com/" TargetMode="External" /><Relationship Type="http://schemas.openxmlformats.org/officeDocument/2006/relationships/hyperlink" Id="rId39" Target="https://consortia.indianapolis.iu.edu/health-equity/index.html" TargetMode="External" /><Relationship Type="http://schemas.openxmlformats.org/officeDocument/2006/relationships/hyperlink" Id="rId113" Target="https://datasketch.dev/post/2020-08-09-how-to-make-spirals-with-r/" TargetMode="External" /><Relationship Type="http://schemas.openxmlformats.org/officeDocument/2006/relationships/hyperlink" Id="rId104" Target="https://doi.org/10.1002/ajcp.12503" TargetMode="External" /><Relationship Type="http://schemas.openxmlformats.org/officeDocument/2006/relationships/hyperlink" Id="rId123" Target="https://doi.org/10.1002/jcop.21828" TargetMode="External" /><Relationship Type="http://schemas.openxmlformats.org/officeDocument/2006/relationships/hyperlink" Id="rId151" Target="https://doi.org/10.1007/978-981-10-2779-6_12-2" TargetMode="External" /><Relationship Type="http://schemas.openxmlformats.org/officeDocument/2006/relationships/hyperlink" Id="rId157" Target="https://doi.org/10.1016/S0149-7189(03)00029-6" TargetMode="External" /><Relationship Type="http://schemas.openxmlformats.org/officeDocument/2006/relationships/hyperlink" Id="rId125" Target="https://doi.org/10.1016/S0263-2373(98)00029-2" TargetMode="External" /><Relationship Type="http://schemas.openxmlformats.org/officeDocument/2006/relationships/hyperlink" Id="rId119" Target="https://doi.org/10.1016/j.pec.2010.07.035" TargetMode="External" /><Relationship Type="http://schemas.openxmlformats.org/officeDocument/2006/relationships/hyperlink" Id="rId141" Target="https://doi.org/10.1073/pnas.2004929117" TargetMode="External" /><Relationship Type="http://schemas.openxmlformats.org/officeDocument/2006/relationships/hyperlink" Id="rId159" Target="https://doi.org/10.1080/13583883.2017.1395904" TargetMode="External" /><Relationship Type="http://schemas.openxmlformats.org/officeDocument/2006/relationships/hyperlink" Id="rId135" Target="https://doi.org/10.1111/1468-0009.12458" TargetMode="External" /><Relationship Type="http://schemas.openxmlformats.org/officeDocument/2006/relationships/hyperlink" Id="rId147" Target="https://doi.org/10.1111/2041-210X.12940" TargetMode="External" /><Relationship Type="http://schemas.openxmlformats.org/officeDocument/2006/relationships/hyperlink" Id="rId163" Target="https://doi.org/10.1111/cgf.14521" TargetMode="External" /><Relationship Type="http://schemas.openxmlformats.org/officeDocument/2006/relationships/hyperlink" Id="rId106" Target="https://doi.org/10.1111/cts.12474" TargetMode="External" /><Relationship Type="http://schemas.openxmlformats.org/officeDocument/2006/relationships/hyperlink" Id="rId102" Target="https://doi.org/10.1177/1049732314557084" TargetMode="External" /><Relationship Type="http://schemas.openxmlformats.org/officeDocument/2006/relationships/hyperlink" Id="rId149" Target="https://doi.org/10.1177/1069397116680352" TargetMode="External" /><Relationship Type="http://schemas.openxmlformats.org/officeDocument/2006/relationships/hyperlink" Id="rId169" Target="https://doi.org/10.1177/1090198119897075" TargetMode="External" /><Relationship Type="http://schemas.openxmlformats.org/officeDocument/2006/relationships/hyperlink" Id="rId121" Target="https://doi.org/10.1177/1098214017703703" TargetMode="External" /><Relationship Type="http://schemas.openxmlformats.org/officeDocument/2006/relationships/hyperlink" Id="rId133" Target="https://doi.org/10.1186/1472-6963-13-158" TargetMode="External" /><Relationship Type="http://schemas.openxmlformats.org/officeDocument/2006/relationships/hyperlink" Id="rId131" Target="https://doi.org/10.1186/s12961-023-01045-y" TargetMode="External" /><Relationship Type="http://schemas.openxmlformats.org/officeDocument/2006/relationships/hyperlink" Id="rId98" Target="https://doi.org/10.1353/cpr.2015.0077" TargetMode="External" /><Relationship Type="http://schemas.openxmlformats.org/officeDocument/2006/relationships/hyperlink" Id="rId127" Target="https://doi.org/10.1353/cpr.2019.0064" TargetMode="External" /><Relationship Type="http://schemas.openxmlformats.org/officeDocument/2006/relationships/hyperlink" Id="rId145" Target="https://doi.org/10.15142/zwmv-4273" TargetMode="External" /><Relationship Type="http://schemas.openxmlformats.org/officeDocument/2006/relationships/hyperlink" Id="rId161" Target="https://doi.org/10.1525/jlin.1997.7.2.208" TargetMode="External" /><Relationship Type="http://schemas.openxmlformats.org/officeDocument/2006/relationships/hyperlink" Id="rId173" Target="https://doi.org/10.18060/26658" TargetMode="External" /><Relationship Type="http://schemas.openxmlformats.org/officeDocument/2006/relationships/hyperlink" Id="rId167" Target="https://doi.org/10.2105/AJPH.2009.184036" TargetMode="External" /><Relationship Type="http://schemas.openxmlformats.org/officeDocument/2006/relationships/hyperlink" Id="rId100" Target="https://doi.org/10.21105/joss.01360" TargetMode="External" /><Relationship Type="http://schemas.openxmlformats.org/officeDocument/2006/relationships/hyperlink" Id="rId96" Target="https://doi.org/10.2307/20787374" TargetMode="External" /><Relationship Type="http://schemas.openxmlformats.org/officeDocument/2006/relationships/hyperlink" Id="rId129" Target="https://doi.org/10.37333/001c.18586" TargetMode="External" /><Relationship Type="http://schemas.openxmlformats.org/officeDocument/2006/relationships/hyperlink" Id="rId143" Target="https://doi.org/10.3998/mjcsloa.3239521.0023.101" TargetMode="External" /><Relationship Type="http://schemas.openxmlformats.org/officeDocument/2006/relationships/hyperlink" Id="rId175" Target="https://doi.org/10.3998/mjcsloa.3239521.0025.106" TargetMode="External" /><Relationship Type="http://schemas.openxmlformats.org/officeDocument/2006/relationships/hyperlink" Id="rId153" Target="https://doi.org/10.5130/ijcre.v8i1.4105" TargetMode="External" /><Relationship Type="http://schemas.openxmlformats.org/officeDocument/2006/relationships/hyperlink" Id="rId111" Target="https://indiana.sharepoint.com/sites/msteams_92d57a/Shared%20Documents/Forms/AllItems.aspx?id=%2Fsites%2Fmsteams%5F92d57a%2FShared%20Documents%2FGeneral%2Fcsl%2FWCMS%20Resources%2Ftres1%2Epdf&amp;parent=%2Fsites%2Fmsteams%5F92d57a%2FShared%20Documents%2FGeneral%2Fcsl%2FWCMS%20Resources&amp;p=true&amp;ga=1" TargetMode="External" /><Relationship Type="http://schemas.openxmlformats.org/officeDocument/2006/relationships/hyperlink" Id="rId137" Target="https://jlmc.medium.com/understanding-three-simple-statistics-for-data-visualizations-2619dbb3677a" TargetMode="External" /><Relationship Type="http://schemas.openxmlformats.org/officeDocument/2006/relationships/hyperlink" Id="rId115" Target="https://openjournals.libs.uga.edu/jheoe/article/view/1159" TargetMode="External" /><Relationship Type="http://schemas.openxmlformats.org/officeDocument/2006/relationships/hyperlink" Id="rId155" Target="https://qtip.geography.wisc.edu/#/" TargetMode="External" /><Relationship Type="http://schemas.openxmlformats.org/officeDocument/2006/relationships/hyperlink" Id="rId86" Target="https://quarto.org" TargetMode="External" /><Relationship Type="http://schemas.openxmlformats.org/officeDocument/2006/relationships/hyperlink" Id="rId139" Target="https://towardsdatascience.com/on-average-youre-using-the-wrong-average-geometric-harmonic-means-in-data-analysis-2a703e21ea0" TargetMode="External" /><Relationship Type="http://schemas.openxmlformats.org/officeDocument/2006/relationships/hyperlink" Id="rId165" Target="https://www.R-project.org/" TargetMode="External" /><Relationship Type="http://schemas.openxmlformats.org/officeDocument/2006/relationships/hyperlink" Id="rId117" Target="https://www.oregon.gov/deq/mm/Documents/recQmethodRep.pdf" TargetMode="External" /><Relationship Type="http://schemas.openxmlformats.org/officeDocument/2006/relationships/hyperlink" Id="rId171" Target="https://www.researchgate.net/profile/Nina-Wallerstein/publication/285496812_What_predicts_outcomes_in_CBPR/links/5663556408ae15e746313863/What-predicts-outcomes-in-CBPR.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CEnTR*IMPACT</dc:title>
  <dc:creator>Jeremy F Price</dc:creator>
  <cp:keywords/>
  <dcterms:created xsi:type="dcterms:W3CDTF">2024-08-28T20:28:36Z</dcterms:created>
  <dcterms:modified xsi:type="dcterms:W3CDTF">2024-08-28T20:28:36Z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allout-appearance">
    <vt:lpwstr>simple</vt:lpwstr>
  </property>
  <property fmtid="{D5CDD505-2E9C-101B-9397-08002B2CF9AE}" pid="9" name="code-block-bg">
    <vt:lpwstr>True</vt:lpwstr>
  </property>
  <property fmtid="{D5CDD505-2E9C-101B-9397-08002B2CF9AE}" pid="10" name="code-block-border-left">
    <vt:lpwstr>#86CEEB</vt:lpwstr>
  </property>
  <property fmtid="{D5CDD505-2E9C-101B-9397-08002B2CF9AE}" pid="11" name="crossref">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cense">
    <vt:lpwstr/>
  </property>
  <property fmtid="{D5CDD505-2E9C-101B-9397-08002B2CF9AE}" pid="17" name="mainfont">
    <vt:lpwstr>PT Sans</vt:lpwstr>
  </property>
  <property fmtid="{D5CDD505-2E9C-101B-9397-08002B2CF9AE}" pid="18" name="mathfont">
    <vt:lpwstr>Alegreya</vt:lpwstr>
  </property>
  <property fmtid="{D5CDD505-2E9C-101B-9397-08002B2CF9AE}" pid="19" name="monofont">
    <vt:lpwstr>PT Mono</vt:lpwstr>
  </property>
  <property fmtid="{D5CDD505-2E9C-101B-9397-08002B2CF9AE}" pid="20" name="sansfont">
    <vt:lpwstr>Bree Serif</vt:lpwstr>
  </property>
  <property fmtid="{D5CDD505-2E9C-101B-9397-08002B2CF9AE}" pid="21" name="subtitle">
    <vt:lpwstr>Community Engaged and Transformative Research Inclusive Measurement of Projects and Community Transformation</vt:lpwstr>
  </property>
  <property fmtid="{D5CDD505-2E9C-101B-9397-08002B2CF9AE}" pid="22" name="toc-title">
    <vt:lpwstr>Table of contents</vt:lpwstr>
  </property>
</Properties>
</file>