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the</w:t>
      </w:r>
      <w:r>
        <w:t xml:space="preserve"> </w:t>
      </w:r>
      <w:r>
        <w:t xml:space="preserve">Field</w:t>
      </w:r>
    </w:p>
    <w:p>
      <w:pPr>
        <w:pStyle w:val="SourceCode"/>
      </w:pPr>
      <w:r>
        <w:rPr>
          <w:rStyle w:val="VerbatimChar"/>
        </w:rPr>
        <w:t xml:space="preserve">Loading required package: ggplot2</w:t>
      </w:r>
    </w:p>
    <w:p>
      <w:pPr>
        <w:pStyle w:val="SourceCode"/>
      </w:pPr>
      <w:r>
        <w:rPr>
          <w:rStyle w:val="VerbatimChar"/>
        </w:rPr>
        <w:t xml:space="preserve">Welcome! Want to learn more? See two factoextra-related books at https://goo.gl/ve3WBa</w:t>
      </w:r>
    </w:p>
    <w:p>
      <w:pPr>
        <w:pStyle w:val="SourceCode"/>
      </w:pPr>
      <w:r>
        <w:rPr>
          <w:rStyle w:val="VerbatimChar"/>
        </w:rPr>
        <w:t xml:space="preserve">Loading required package: permute</w:t>
      </w:r>
    </w:p>
    <w:p>
      <w:pPr>
        <w:pStyle w:val="SourceCode"/>
      </w:pPr>
      <w:r>
        <w:rPr>
          <w:rStyle w:val="VerbatimChar"/>
        </w:rPr>
        <w:t xml:space="preserve">Loading required package: lattice</w:t>
      </w:r>
    </w:p>
    <w:p>
      <w:pPr>
        <w:pStyle w:val="SourceCode"/>
      </w:pPr>
      <w:r>
        <w:rPr>
          <w:rStyle w:val="VerbatimChar"/>
        </w:rPr>
        <w:t xml:space="preserve">This is vegan 2.6-2</w:t>
      </w:r>
    </w:p>
    <w:p>
      <w:pPr>
        <w:pStyle w:val="SourceCode"/>
      </w:pPr>
      <w:r>
        <w:rPr>
          <w:rStyle w:val="VerbatimChar"/>
        </w:rPr>
        <w:t xml:space="preserve">Registered S3 method overwritten by 'dendextend':</w:t>
      </w:r>
      <w:r>
        <w:br/>
      </w:r>
      <w:r>
        <w:rPr>
          <w:rStyle w:val="VerbatimChar"/>
        </w:rPr>
        <w:t xml:space="preserve">  method     from </w:t>
      </w:r>
      <w:r>
        <w:br/>
      </w:r>
      <w:r>
        <w:rPr>
          <w:rStyle w:val="VerbatimChar"/>
        </w:rPr>
        <w:t xml:space="preserve">  rev.hclust vegan</w:t>
      </w:r>
    </w:p>
    <w:p>
      <w:pPr>
        <w:pStyle w:val="SourceCode"/>
      </w:pPr>
      <w:r>
        <w:br/>
      </w:r>
      <w:r>
        <w:rPr>
          <w:rStyle w:val="VerbatimChar"/>
        </w:rPr>
        <w:t xml:space="preserve">---------------------</w:t>
      </w:r>
      <w:r>
        <w:br/>
      </w:r>
      <w:r>
        <w:rPr>
          <w:rStyle w:val="VerbatimChar"/>
        </w:rPr>
        <w:t xml:space="preserve">Welcome to dendextend version 1.16.0</w:t>
      </w:r>
      <w:r>
        <w:br/>
      </w:r>
      <w:r>
        <w:rPr>
          <w:rStyle w:val="VerbatimChar"/>
        </w:rPr>
        <w:t xml:space="preserve">Type citation('dendextend') for how to cite the package.</w:t>
      </w:r>
      <w:r>
        <w:br/>
      </w:r>
      <w:r>
        <w:br/>
      </w:r>
      <w:r>
        <w:rPr>
          <w:rStyle w:val="VerbatimChar"/>
        </w:rPr>
        <w:t xml:space="preserve">Type browseVignettes(package = 'dendextend') for the package vignette.</w:t>
      </w:r>
      <w:r>
        <w:br/>
      </w:r>
      <w:r>
        <w:rPr>
          <w:rStyle w:val="VerbatimChar"/>
        </w:rPr>
        <w:t xml:space="preserve">The github page is: https://github.com/talgalili/dendextend/</w:t>
      </w:r>
      <w:r>
        <w:br/>
      </w:r>
      <w:r>
        <w:br/>
      </w:r>
      <w:r>
        <w:rPr>
          <w:rStyle w:val="VerbatimChar"/>
        </w:rPr>
        <w:t xml:space="preserve">Suggestions and bug-reports can be submitted at: https://github.com/talgalili/dendextend/issues</w:t>
      </w:r>
      <w:r>
        <w:br/>
      </w:r>
      <w:r>
        <w:rPr>
          <w:rStyle w:val="VerbatimChar"/>
        </w:rPr>
        <w:t xml:space="preserve">You may ask questions at stackoverflow, use the r and dendextend tags: </w:t>
      </w:r>
      <w:r>
        <w:br/>
      </w:r>
      <w:r>
        <w:rPr>
          <w:rStyle w:val="VerbatimChar"/>
        </w:rPr>
        <w:t xml:space="preserve">     https://stackoverflow.com/questions/tagged/dendextend</w:t>
      </w:r>
      <w:r>
        <w:br/>
      </w:r>
      <w:r>
        <w:br/>
      </w:r>
      <w:r>
        <w:rPr>
          <w:rStyle w:val="VerbatimChar"/>
        </w:rPr>
        <w:t xml:space="preserve">    To suppress this message use:  suppressPackageStartupMessages(library(dendextend))</w:t>
      </w:r>
      <w:r>
        <w:br/>
      </w:r>
      <w:r>
        <w:rPr>
          <w:rStyle w:val="VerbatimChar"/>
        </w:rPr>
        <w:t xml:space="preserve">---------------------</w:t>
      </w:r>
    </w:p>
    <w:p>
      <w:pPr>
        <w:pStyle w:val="SourceCode"/>
      </w:pPr>
      <w:r>
        <w:br/>
      </w:r>
      <w:r>
        <w:rPr>
          <w:rStyle w:val="VerbatimChar"/>
        </w:rPr>
        <w:t xml:space="preserve">Attaching package: 'dendextend'</w:t>
      </w:r>
    </w:p>
    <w:p>
      <w:pPr>
        <w:pStyle w:val="SourceCode"/>
      </w:pPr>
      <w:r>
        <w:rPr>
          <w:rStyle w:val="VerbatimChar"/>
        </w:rPr>
        <w:t xml:space="preserve">The following object is masked from 'package:permute':</w:t>
      </w:r>
      <w:r>
        <w:br/>
      </w:r>
      <w:r>
        <w:br/>
      </w:r>
      <w:r>
        <w:rPr>
          <w:rStyle w:val="VerbatimChar"/>
        </w:rPr>
        <w:t xml:space="preserve">    shuffle</w:t>
      </w:r>
    </w:p>
    <w:p>
      <w:pPr>
        <w:pStyle w:val="SourceCode"/>
      </w:pPr>
      <w:r>
        <w:rPr>
          <w:rStyle w:val="VerbatimChar"/>
        </w:rPr>
        <w:t xml:space="preserve">The following object is masked from 'package:stats':</w:t>
      </w:r>
      <w:r>
        <w:br/>
      </w:r>
      <w:r>
        <w:br/>
      </w:r>
      <w:r>
        <w:rPr>
          <w:rStyle w:val="VerbatimChar"/>
        </w:rPr>
        <w:t xml:space="preserve">    cutree</w:t>
      </w:r>
    </w:p>
    <w:p>
      <w:pPr>
        <w:pStyle w:val="SourceCode"/>
      </w:pPr>
      <w:r>
        <w:rPr>
          <w:rStyle w:val="VerbatimChar"/>
        </w:rPr>
        <w:t xml:space="preserve">Loading required package: plyr</w:t>
      </w:r>
    </w:p>
    <w:p>
      <w:pPr>
        <w:pStyle w:val="SourceCode"/>
      </w:pPr>
      <w:r>
        <w:rPr>
          <w:rStyle w:val="VerbatimChar"/>
        </w:rPr>
        <w:t xml:space="preserve">Loading required package: scales</w:t>
      </w:r>
    </w:p>
    <w:p>
      <w:pPr>
        <w:pStyle w:val="SourceCode"/>
      </w:pPr>
      <w:r>
        <w:br/>
      </w:r>
      <w:r>
        <w:rPr>
          <w:rStyle w:val="VerbatimChar"/>
        </w:rPr>
        <w:t xml:space="preserve">Attaching package: 'scales'</w:t>
      </w:r>
    </w:p>
    <w:p>
      <w:pPr>
        <w:pStyle w:val="SourceCode"/>
      </w:pPr>
      <w:r>
        <w:rPr>
          <w:rStyle w:val="VerbatimChar"/>
        </w:rPr>
        <w:t xml:space="preserve">The following object is masked from 'package:CAinterprTools':</w:t>
      </w:r>
      <w:r>
        <w:br/>
      </w:r>
      <w:r>
        <w:br/>
      </w:r>
      <w:r>
        <w:rPr>
          <w:rStyle w:val="VerbatimChar"/>
        </w:rPr>
        <w:t xml:space="preserve">    rescale</w:t>
      </w:r>
    </w:p>
    <w:p>
      <w:pPr>
        <w:pStyle w:val="SourceCode"/>
      </w:pPr>
      <w:r>
        <w:rPr>
          <w:rStyle w:val="VerbatimChar"/>
        </w:rPr>
        <w:t xml:space="preserve">The following object is masked from 'package:readr':</w:t>
      </w:r>
      <w:r>
        <w:br/>
      </w:r>
      <w:r>
        <w:br/>
      </w:r>
      <w:r>
        <w:rPr>
          <w:rStyle w:val="VerbatimChar"/>
        </w:rPr>
        <w:t xml:space="preserve">    col_factor</w:t>
      </w:r>
    </w:p>
    <w:p>
      <w:pPr>
        <w:pStyle w:val="SourceCode"/>
      </w:pPr>
      <w:r>
        <w:rPr>
          <w:rStyle w:val="VerbatimChar"/>
        </w:rPr>
        <w:t xml:space="preserve">Loading required package: grid</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'package:plyr':</w:t>
      </w:r>
      <w:r>
        <w:br/>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br/>
      </w:r>
      <w:r>
        <w:rPr>
          <w:rStyle w:val="VerbatimChar"/>
        </w:rPr>
        <w:t xml:space="preserve">Attaching package: 'purrr'</w:t>
      </w:r>
    </w:p>
    <w:p>
      <w:pPr>
        <w:pStyle w:val="SourceCode"/>
      </w:pPr>
      <w:r>
        <w:rPr>
          <w:rStyle w:val="VerbatimChar"/>
        </w:rPr>
        <w:t xml:space="preserve">The following object is masked from 'package:scales':</w:t>
      </w:r>
      <w:r>
        <w:br/>
      </w:r>
      <w:r>
        <w:br/>
      </w:r>
      <w:r>
        <w:rPr>
          <w:rStyle w:val="VerbatimChar"/>
        </w:rPr>
        <w:t xml:space="preserve">    discard</w:t>
      </w:r>
    </w:p>
    <w:p>
      <w:pPr>
        <w:pStyle w:val="SourceCode"/>
      </w:pPr>
      <w:r>
        <w:rPr>
          <w:rStyle w:val="VerbatimChar"/>
        </w:rPr>
        <w:t xml:space="preserve">The following object is masked from 'package:plyr':</w:t>
      </w:r>
      <w:r>
        <w:br/>
      </w:r>
      <w:r>
        <w:br/>
      </w:r>
      <w:r>
        <w:rPr>
          <w:rStyle w:val="VerbatimChar"/>
        </w:rPr>
        <w:t xml:space="preserve">    compact</w:t>
      </w:r>
    </w:p>
    <w:p>
      <w:pPr>
        <w:pStyle w:val="SourceCode"/>
      </w:pPr>
      <w:r>
        <w:br/>
      </w:r>
      <w:r>
        <w:rPr>
          <w:rStyle w:val="VerbatimChar"/>
        </w:rPr>
        <w:t xml:space="preserve">Attaching package: 'ggfittext'</w:t>
      </w:r>
    </w:p>
    <w:p>
      <w:pPr>
        <w:pStyle w:val="SourceCode"/>
      </w:pPr>
      <w:r>
        <w:rPr>
          <w:rStyle w:val="VerbatimChar"/>
        </w:rPr>
        <w:t xml:space="preserve">The following object is masked from 'package:cluster':</w:t>
      </w:r>
      <w:r>
        <w:br/>
      </w:r>
      <w:r>
        <w:br/>
      </w:r>
      <w:r>
        <w:rPr>
          <w:rStyle w:val="VerbatimChar"/>
        </w:rPr>
        <w:t xml:space="preserve">    animals</w:t>
      </w:r>
    </w:p>
    <w:bookmarkStart w:id="20" w:name="abstract"/>
    <w:p>
      <w:pPr>
        <w:pStyle w:val="Heading1"/>
      </w:pPr>
      <w:r>
        <w:t xml:space="preserve">Abstract</w:t>
      </w:r>
    </w:p>
    <w:p>
      <w:pPr>
        <w:pStyle w:val="FirstParagraph"/>
      </w:pPr>
      <w:r>
        <w:t xml:space="preserve">300 word maximum.</w:t>
      </w:r>
    </w:p>
    <w:bookmarkEnd w:id="20"/>
    <w:bookmarkStart w:id="21" w:name="keywords"/>
    <w:p>
      <w:pPr>
        <w:pStyle w:val="Heading1"/>
      </w:pPr>
      <w:r>
        <w:t xml:space="preserve">Keywords</w:t>
      </w:r>
    </w:p>
    <w:p>
      <w:pPr>
        <w:pStyle w:val="FirstParagraph"/>
      </w:pPr>
      <w:r>
        <w:t xml:space="preserve">Keyword 1, keyword 2… up to 6?</w:t>
      </w:r>
    </w:p>
    <w:p>
      <w:pPr>
        <w:pStyle w:val="BodyText"/>
      </w:pPr>
      <w:r>
        <w:t xml:space="preserve">Start typing your introduction here. Please do not use the word</w:t>
      </w:r>
      <w:r>
        <w:t xml:space="preserve"> </w:t>
      </w:r>
      <w:r>
        <w:t xml:space="preserve">“</w:t>
      </w:r>
      <w:r>
        <w:t xml:space="preserve">Introduction</w:t>
      </w:r>
      <w:r>
        <w:t xml:space="preserve">”</w:t>
      </w:r>
      <w:r>
        <w:t xml:space="preserve"> </w:t>
      </w:r>
      <w:r>
        <w:t xml:space="preserve">as an initial heading, since your paper is supposed to begin with an introduction. The introduction shall present the research question including key definitions, and spell out the stakes, objectives and scope of the literature review. The last paragraph of the introduction shall list the major remaining sections, which in principle include the presentation of the method adopted for the literature review, the results obtained, the discussion of results and the conclusion. In the main text, while presenting the review method, the authors shall identify the data sources and discuss their respective quality. The discussion shall outline convergences and divergences with respect to existing literature, and also identify blindspots that are worth research consideration in future.</w:t>
      </w:r>
    </w:p>
    <w:bookmarkEnd w:id="21"/>
    <w:bookmarkStart w:id="22" w:name="methods"/>
    <w:p>
      <w:pPr>
        <w:pStyle w:val="Heading1"/>
      </w:pPr>
      <w:r>
        <w:t xml:space="preserve">Methods</w:t>
      </w:r>
    </w:p>
    <w:p>
      <w:pPr>
        <w:pStyle w:val="FirstParagraph"/>
      </w:pPr>
      <w:r>
        <w:t xml:space="preserve">Blah blah blah</w:t>
      </w:r>
    </w:p>
    <w:bookmarkEnd w:id="22"/>
    <w:bookmarkStart w:id="26" w:name="results"/>
    <w:p>
      <w:pPr>
        <w:pStyle w:val="Heading1"/>
      </w:pPr>
      <w:r>
        <w:t xml:space="preserve">Results</w:t>
      </w:r>
    </w:p>
    <w:p>
      <w:pPr>
        <w:pStyle w:val="FirstParagraph"/>
      </w:pPr>
      <w:r>
        <w:t xml:space="preserve">Blah blah blah</w:t>
      </w:r>
    </w:p>
    <w:p>
      <w:pPr>
        <w:pStyle w:val="SourceCode"/>
      </w:pPr>
      <w:r>
        <w:rPr>
          <w:rStyle w:val="CommentTok"/>
        </w:rPr>
        <w:t xml:space="preserve"># Re-run PCA on newly compiled and scaled dataframe</w:t>
      </w:r>
      <w:r>
        <w:br/>
      </w:r>
      <w:r>
        <w:rPr>
          <w:rStyle w:val="NormalTok"/>
        </w:rPr>
        <w:t xml:space="preserve">analysis.pca </w:t>
      </w:r>
      <w:r>
        <w:rPr>
          <w:rStyle w:val="OtherTok"/>
        </w:rPr>
        <w:t xml:space="preserve">&lt;-</w:t>
      </w:r>
      <w:r>
        <w:rPr>
          <w:rStyle w:val="NormalTok"/>
        </w:rPr>
        <w:t xml:space="preserve"> </w:t>
      </w:r>
      <w:r>
        <w:rPr>
          <w:rStyle w:val="FunctionTok"/>
        </w:rPr>
        <w:t xml:space="preserve">PCA</w:t>
      </w:r>
      <w:r>
        <w:rPr>
          <w:rStyle w:val="NormalTok"/>
        </w:rPr>
        <w:t xml:space="preserve">(analysis.scales, </w:t>
      </w:r>
      <w:r>
        <w:rPr>
          <w:rStyle w:val="AttributeTok"/>
        </w:rPr>
        <w:t xml:space="preserve">graph =</w:t>
      </w:r>
      <w:r>
        <w:rPr>
          <w:rStyle w:val="NormalTok"/>
        </w:rPr>
        <w:t xml:space="preserve"> </w:t>
      </w:r>
      <w:r>
        <w:rPr>
          <w:rStyle w:val="ConstantTok"/>
        </w:rPr>
        <w:t xml:space="preserve">FALSE</w:t>
      </w:r>
      <w:r>
        <w:rPr>
          <w:rStyle w:val="NormalTok"/>
        </w:rPr>
        <w:t xml:space="preserve">)</w:t>
      </w:r>
      <w:r>
        <w:br/>
      </w:r>
      <w:r>
        <w:br/>
      </w:r>
      <w:r>
        <w:rPr>
          <w:rStyle w:val="CommentTok"/>
        </w:rPr>
        <w:t xml:space="preserve"># Calculate HCPC</w:t>
      </w:r>
      <w:r>
        <w:br/>
      </w:r>
      <w:r>
        <w:rPr>
          <w:rStyle w:val="NormalTok"/>
        </w:rPr>
        <w:t xml:space="preserve">res.hcpc </w:t>
      </w:r>
      <w:r>
        <w:rPr>
          <w:rStyle w:val="OtherTok"/>
        </w:rPr>
        <w:t xml:space="preserve">&lt;-</w:t>
      </w:r>
      <w:r>
        <w:rPr>
          <w:rStyle w:val="NormalTok"/>
        </w:rPr>
        <w:t xml:space="preserve"> </w:t>
      </w:r>
      <w:r>
        <w:rPr>
          <w:rStyle w:val="FunctionTok"/>
        </w:rPr>
        <w:t xml:space="preserve">HCPC</w:t>
      </w:r>
      <w:r>
        <w:rPr>
          <w:rStyle w:val="NormalTok"/>
        </w:rPr>
        <w:t xml:space="preserve">(analysis.pca, </w:t>
      </w:r>
      <w:r>
        <w:rPr>
          <w:rStyle w:val="AttributeTok"/>
        </w:rPr>
        <w:t xml:space="preserve">graph =</w:t>
      </w:r>
      <w:r>
        <w:rPr>
          <w:rStyle w:val="NormalTok"/>
        </w:rPr>
        <w:t xml:space="preserve"> </w:t>
      </w:r>
      <w:r>
        <w:rPr>
          <w:rStyle w:val="ConstantTok"/>
        </w:rPr>
        <w:t xml:space="preserve">FALSE</w:t>
      </w:r>
      <w:r>
        <w:rPr>
          <w:rStyle w:val="NormalTok"/>
        </w:rPr>
        <w:t xml:space="preserve">)</w:t>
      </w:r>
      <w:r>
        <w:br/>
      </w:r>
      <w:r>
        <w:br/>
      </w:r>
      <w:r>
        <w:rPr>
          <w:rStyle w:val="CommentTok"/>
        </w:rPr>
        <w:t xml:space="preserve"># Create and output dendrogram of clusters by manuscriptID</w:t>
      </w:r>
      <w:r>
        <w:br/>
      </w:r>
      <w:r>
        <w:rPr>
          <w:rStyle w:val="FunctionTok"/>
        </w:rPr>
        <w:t xml:space="preserve">fviz_dend</w:t>
      </w:r>
      <w:r>
        <w:rPr>
          <w:rStyle w:val="NormalTok"/>
        </w:rPr>
        <w:t xml:space="preserve">(res.hcpc,</w:t>
      </w:r>
      <w:r>
        <w:br/>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                     </w:t>
      </w:r>
      <w:r>
        <w:rPr>
          <w:rStyle w:val="CommentTok"/>
        </w:rPr>
        <w:t xml:space="preserve"># Label size</w:t>
      </w:r>
      <w:r>
        <w:br/>
      </w:r>
      <w:r>
        <w:rPr>
          <w:rStyle w:val="NormalTok"/>
        </w:rPr>
        <w:t xml:space="preserve">          </w:t>
      </w:r>
      <w:r>
        <w:rPr>
          <w:rStyle w:val="AttributeTok"/>
        </w:rPr>
        <w:t xml:space="preserve">palette =</w:t>
      </w:r>
      <w:r>
        <w:rPr>
          <w:rStyle w:val="NormalTok"/>
        </w:rPr>
        <w:t xml:space="preserve"> iu.colors,               </w:t>
      </w:r>
      <w:r>
        <w:rPr>
          <w:rStyle w:val="CommentTok"/>
        </w:rPr>
        <w:t xml:space="preserve"># Color palette see ?ggpubr::ggpar</w:t>
      </w:r>
      <w:r>
        <w:br/>
      </w:r>
      <w:r>
        <w:rPr>
          <w:rStyle w:val="NormalTok"/>
        </w:rPr>
        <w:t xml:space="preserve">          </w:t>
      </w:r>
      <w:r>
        <w:rPr>
          <w:rStyle w:val="AttributeTok"/>
        </w:rPr>
        <w:t xml:space="preserve">rect =</w:t>
      </w:r>
      <w:r>
        <w:rPr>
          <w:rStyle w:val="NormalTok"/>
        </w:rPr>
        <w:t xml:space="preserve"> </w:t>
      </w:r>
      <w:r>
        <w:rPr>
          <w:rStyle w:val="ConstantTok"/>
        </w:rPr>
        <w:t xml:space="preserve">FALSE</w:t>
      </w:r>
      <w:r>
        <w:rPr>
          <w:rStyle w:val="NormalTok"/>
        </w:rPr>
        <w:t xml:space="preserve">, </w:t>
      </w:r>
      <w:r>
        <w:rPr>
          <w:rStyle w:val="AttributeTok"/>
        </w:rPr>
        <w:t xml:space="preserve">rect_fill =</w:t>
      </w:r>
      <w:r>
        <w:rPr>
          <w:rStyle w:val="NormalTok"/>
        </w:rPr>
        <w:t xml:space="preserve"> </w:t>
      </w:r>
      <w:r>
        <w:rPr>
          <w:rStyle w:val="ConstantTok"/>
        </w:rPr>
        <w:t xml:space="preserve">FALSE</w:t>
      </w:r>
      <w:r>
        <w:rPr>
          <w:rStyle w:val="NormalTok"/>
        </w:rPr>
        <w:t xml:space="preserve">, </w:t>
      </w:r>
      <w:r>
        <w:rPr>
          <w:rStyle w:val="CommentTok"/>
        </w:rPr>
        <w:t xml:space="preserve"># Add rectangle around groups</w:t>
      </w:r>
      <w:r>
        <w:br/>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CommentTok"/>
        </w:rPr>
        <w:t xml:space="preserve">#rect_border = iu.colors,           # Rectangle color</w:t>
      </w:r>
      <w:r>
        <w:br/>
      </w:r>
      <w:r>
        <w:rPr>
          <w:rStyle w:val="NormalTok"/>
        </w:rPr>
        <w:t xml:space="preserve">          </w:t>
      </w:r>
      <w:r>
        <w:rPr>
          <w:rStyle w:val="AttributeTok"/>
        </w:rPr>
        <w:t xml:space="preserve">labels_track_height =</w:t>
      </w:r>
      <w:r>
        <w:rPr>
          <w:rStyle w:val="NormalTok"/>
        </w:rPr>
        <w:t xml:space="preserve"> </w:t>
      </w:r>
      <w:r>
        <w:rPr>
          <w:rStyle w:val="FloatTok"/>
        </w:rPr>
        <w:t xml:space="preserve">0.8</w:t>
      </w:r>
      <w:r>
        <w:rPr>
          <w:rStyle w:val="NormalTok"/>
        </w:rPr>
        <w:t xml:space="preserve">,      </w:t>
      </w:r>
      <w:r>
        <w:rPr>
          <w:rStyle w:val="CommentTok"/>
        </w:rPr>
        <w:t xml:space="preserve"># Augment the room for labels</w:t>
      </w:r>
      <w:r>
        <w:br/>
      </w:r>
      <w:r>
        <w:rPr>
          <w:rStyle w:val="NormalTok"/>
        </w:rPr>
        <w:t xml:space="preserve">          </w:t>
      </w:r>
      <w:r>
        <w:rPr>
          <w:rStyle w:val="AttributeTok"/>
        </w:rPr>
        <w:t xml:space="preserve">main =</w:t>
      </w:r>
      <w:r>
        <w:rPr>
          <w:rStyle w:val="NormalTok"/>
        </w:rPr>
        <w:t xml:space="preserve"> </w:t>
      </w:r>
      <w:r>
        <w:rPr>
          <w:rStyle w:val="StringTok"/>
        </w:rPr>
        <w:t xml:space="preserve">"Dendrogram of Calculated Clusters"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Warning: `guides(&lt;scale&gt; = FALSE)` is deprecated. Please use `guides(&lt;scale&gt; =</w:t>
      </w:r>
      <w:r>
        <w:br/>
      </w:r>
      <w:r>
        <w:rPr>
          <w:rStyle w:val="VerbatimChar"/>
        </w:rPr>
        <w:t xml:space="preserve">"none")` instead.</w:t>
      </w:r>
    </w:p>
    <w:p>
      <w:pPr>
        <w:pStyle w:val="FirstParagraph"/>
      </w:pPr>
      <w:r>
        <w:drawing>
          <wp:inline>
            <wp:extent cx="5334000" cy="4267200"/>
            <wp:effectExtent b="0" l="0" r="0" t="0"/>
            <wp:docPr descr="" title="" id="24" name="Picture"/>
            <a:graphic>
              <a:graphicData uri="http://schemas.openxmlformats.org/drawingml/2006/picture">
                <pic:pic>
                  <pic:nvPicPr>
                    <pic:cNvPr descr="mapping_the_field-document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27" w:name="discussion"/>
    <w:p>
      <w:pPr>
        <w:pStyle w:val="Heading1"/>
      </w:pPr>
      <w:r>
        <w:t xml:space="preserve">Discussion</w:t>
      </w:r>
    </w:p>
    <w:p>
      <w:pPr>
        <w:pStyle w:val="FirstParagraph"/>
      </w:pPr>
      <w:r>
        <w:t xml:space="preserve">Blah blah blah</w:t>
      </w:r>
    </w:p>
    <w:bookmarkEnd w:id="27"/>
    <w:bookmarkStart w:id="28" w:name="conclusion"/>
    <w:p>
      <w:pPr>
        <w:pStyle w:val="Heading1"/>
      </w:pPr>
      <w:r>
        <w:t xml:space="preserve">Conclusion</w:t>
      </w:r>
    </w:p>
    <w:p>
      <w:pPr>
        <w:pStyle w:val="FirstParagraph"/>
      </w:pPr>
      <w:r>
        <w:t xml:space="preserve">Blah blah blah</w:t>
      </w:r>
    </w:p>
    <w:bookmarkEnd w:id="28"/>
    <w:bookmarkStart w:id="29" w:name="references"/>
    <w:p>
      <w:pPr>
        <w:pStyle w:val="Heading1"/>
      </w:pPr>
      <w:r>
        <w:t xml:space="preserve">References</w:t>
      </w:r>
    </w:p>
    <w:p>
      <w:pPr>
        <w:pStyle w:val="FirstParagraph"/>
      </w:pPr>
      <w:r>
        <w:t xml:space="preserve">Blah blah blah</w:t>
      </w:r>
    </w:p>
    <w:bookmarkEnd w:id="29"/>
    <w:bookmarkStart w:id="33" w:name="appendices"/>
    <w:p>
      <w:pPr>
        <w:pStyle w:val="Heading1"/>
      </w:pPr>
      <w:r>
        <w:t xml:space="preserve">Appendices</w:t>
      </w:r>
    </w:p>
    <w:bookmarkStart w:id="31" w:name="quarto"/>
    <w:p>
      <w:pPr>
        <w:pStyle w:val="Heading2"/>
      </w:pPr>
      <w:r>
        <w:t xml:space="preserve">Quarto</w:t>
      </w:r>
    </w:p>
    <w:p>
      <w:pPr>
        <w:pStyle w:val="FirstParagraph"/>
      </w:pPr>
      <w:r>
        <w:t xml:space="preserve">Quarto enables you to weave together content and executable code into a finished document. To learn more about Quarto see</w:t>
      </w:r>
      <w:r>
        <w:t xml:space="preserve"> </w:t>
      </w:r>
      <w:hyperlink r:id="rId30">
        <w:r>
          <w:rPr>
            <w:rStyle w:val="Hyperlink"/>
          </w:rPr>
          <w:t xml:space="preserve">https://quarto.org</w:t>
        </w:r>
      </w:hyperlink>
      <w:r>
        <w:t xml:space="preserve">.</w:t>
      </w:r>
    </w:p>
    <w:bookmarkEnd w:id="31"/>
    <w:bookmarkStart w:id="32" w:name="running-code"/>
    <w:p>
      <w:pPr>
        <w:pStyle w:val="Heading2"/>
      </w:pPr>
      <w:r>
        <w:t xml:space="preserve">Running Code</w:t>
      </w:r>
    </w:p>
    <w:p>
      <w:pPr>
        <w:pStyle w:val="FirstParagraph"/>
      </w:pPr>
      <w:r>
        <w:t xml:space="preserve">When you click the</w:t>
      </w:r>
      <w:r>
        <w:t xml:space="preserve"> </w:t>
      </w:r>
      <w:r>
        <w:rPr>
          <w:bCs/>
          <w:b/>
        </w:rPr>
        <w:t xml:space="preserve">Render</w:t>
      </w:r>
      <w:r>
        <w:t xml:space="preserve"> </w:t>
      </w:r>
      <w:r>
        <w:t xml:space="preserve">button a document will be generated that includes both content and the output of embedded code. You can embed code like this:</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You can add options to executable code like this</w:t>
      </w:r>
    </w:p>
    <w:p>
      <w:pPr>
        <w:pStyle w:val="SourceCode"/>
      </w:pPr>
      <w:r>
        <w:rPr>
          <w:rStyle w:val="VerbatimChar"/>
        </w:rPr>
        <w:t xml:space="preserve">[1] 4</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0"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0"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Field</dc:title>
  <dc:creator/>
  <cp:keywords/>
  <dcterms:created xsi:type="dcterms:W3CDTF">2022-08-08T20:16:44Z</dcterms:created>
  <dcterms:modified xsi:type="dcterms:W3CDTF">2022-08-08T20:16:44Z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