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Tree growth, mortality, and climatic water deficit in west-coast states, USA</w:t>
      </w:r>
    </w:p>
    <w:p>
      <w:pPr>
        <w:pStyle w:val="Date"/>
      </w:pPr>
      <w:r>
        <w:t xml:space="preserve">09 April, 2026</w:t>
      </w:r>
    </w:p>
    <w:bookmarkStart w:id="20" w:name="abstract"/>
    <w:p>
      <w:pPr>
        <w:pStyle w:val="Heading1"/>
      </w:pPr>
      <w:r>
        <w:t xml:space="preserve">Abstract</w:t>
      </w:r>
    </w:p>
    <w:p>
      <w:pPr>
        <w:pStyle w:val="FirstParagraph"/>
      </w:pPr>
      <w:r>
        <w:t xml:space="preserve">Western North American forests are experiencing accelerating tree mortality rates alongside intensifying drought and water stress. Tree growth and mortality reflect cumulative effects of direct physiological stress (xylem cavitation, carbon starvation), and indirect climate-mediated impacts (wildfire, insects, pathogens). Relating design-based estimates for mortality and growth to a climate variable can be challenging, as directly assessing mortality and growth requires the visitation of plots at two different points in time. Plots can differ both in their initial climate variable value and the change in that value between visits, necessitating estimation domains that jointly consider initial conditions and temporal change. We developed an analysis framework that partitions plots into domains defined by their initial-visit climatic water deficit (CWD) value and the change in the CWD value between visits. We applied this approach to 12,297 National Forest Inventory (FIA) plots spanning California, Oregon, and Washington, tracking 272,941 trees from 23 species over decade-long intervals. We estimated decadal growth and mortality across three states, by state, and for six CWD domains per species, along with associated measures of uncertainty. Species responses were highly variable, with no universal pattern of increased mortality or reduced growth in domains experiencing elevated water stress. Several species exhibited overall mortality rates exceeding 0.20 (i.e., 20% decadal mortality), with estimates of 0.34 for</w:t>
      </w:r>
      <w:r>
        <w:t xml:space="preserve"> </w:t>
      </w:r>
      <w:r>
        <w:rPr>
          <w:i/>
          <w:iCs/>
        </w:rPr>
        <w:t xml:space="preserve">Picea engelmannii</w:t>
      </w:r>
      <w:r>
        <w:t xml:space="preserve"> </w:t>
      </w:r>
      <w:r>
        <w:t xml:space="preserve">in Washington, 0.27 for</w:t>
      </w:r>
      <w:r>
        <w:t xml:space="preserve"> </w:t>
      </w:r>
      <w:r>
        <w:rPr>
          <w:i/>
          <w:iCs/>
        </w:rPr>
        <w:t xml:space="preserve">Acer macrophyllum</w:t>
      </w:r>
      <w:r>
        <w:t xml:space="preserve"> </w:t>
      </w:r>
      <w:r>
        <w:t xml:space="preserve">in California, and 0.37 for</w:t>
      </w:r>
      <w:r>
        <w:t xml:space="preserve"> </w:t>
      </w:r>
      <w:r>
        <w:rPr>
          <w:i/>
          <w:iCs/>
        </w:rPr>
        <w:t xml:space="preserve">Pinus contorta</w:t>
      </w:r>
      <w:r>
        <w:t xml:space="preserve"> </w:t>
      </w:r>
      <w:r>
        <w:t xml:space="preserve">in Washington. Domain-specific patterns aligned with known regional disturbances (bark beetles, drought, fire) for multiple species. We found that CWD increased in 91.6% of plots. The FIA sampling design enabled our study to contribute reliable regional insights into the condition of several tree species that exhibit abnormally high mortality and low growth rates.</w:t>
      </w:r>
    </w:p>
    <w:bookmarkEnd w:id="20"/>
    <w:bookmarkStart w:id="21" w:name="introduction"/>
    <w:p>
      <w:pPr>
        <w:pStyle w:val="Heading1"/>
      </w:pPr>
      <w:r>
        <w:t xml:space="preserve">1. Introduction</w:t>
      </w:r>
    </w:p>
    <w:p>
      <w:pPr>
        <w:pStyle w:val="FirstParagraph"/>
      </w:pPr>
      <w:r>
        <w:t xml:space="preserve">Western North American forests are experiencing increases in tree mortality across multiple species in concert with changing climate conditions. Species and tree groups have incurred extraordinary losses in specific regions. Johnston et al. (2025) documented a 29% 10-year mortality rate of 300+ yr old trees in Eastern Oregon. High-severity fires in California in 2020 and 2021 killed 13%-19% of extant giant sequoia (</w:t>
      </w:r>
      <w:r>
        <w:rPr>
          <w:i/>
          <w:iCs/>
        </w:rPr>
        <w:t xml:space="preserve">Sequoiadendron giganteum</w:t>
      </w:r>
      <w:r>
        <w:t xml:space="preserve">) with &gt;1.07-m bole diameters (Stephenson and Brigham 2021, Shive et al. 2022); recruitment in these burns was depressed (Soderberg et al. 2024). Species and genera have also seen their mortality rates increase overall. For example, van Mantgem et al. (2009) found modeled mortality rates for the genera</w:t>
      </w:r>
      <w:r>
        <w:t xml:space="preserve"> </w:t>
      </w:r>
      <w:r>
        <w:rPr>
          <w:i/>
          <w:iCs/>
        </w:rPr>
        <w:t xml:space="preserve">Abies</w:t>
      </w:r>
      <w:r>
        <w:t xml:space="preserve"> </w:t>
      </w:r>
      <w:r>
        <w:t xml:space="preserve">and</w:t>
      </w:r>
      <w:r>
        <w:t xml:space="preserve"> </w:t>
      </w:r>
      <w:r>
        <w:rPr>
          <w:i/>
          <w:iCs/>
        </w:rPr>
        <w:t xml:space="preserve">Pinus</w:t>
      </w:r>
      <w:r>
        <w:t xml:space="preserve"> </w:t>
      </w:r>
      <w:r>
        <w:t xml:space="preserve">in the western USA increased from less than 0.05% annually in 1960 to almost 0.2% by 2010. Perret et al. (2023) estimated a decadal range-wide mortality rate of 25% for Subalpine fir (</w:t>
      </w:r>
      <w:r>
        <w:rPr>
          <w:i/>
          <w:iCs/>
        </w:rPr>
        <w:t xml:space="preserve">Picea engelmannii</w:t>
      </w:r>
      <w:r>
        <w:t xml:space="preserve">). Five of eight common tree species in western North America exhibit declines as measured by relative stand density (Stanke et al. 2021). Shriver et al. (2022) found that four of five juniper (</w:t>
      </w:r>
      <w:r>
        <w:rPr>
          <w:i/>
          <w:iCs/>
        </w:rPr>
        <w:t xml:space="preserve">Juniperus</w:t>
      </w:r>
      <w:r>
        <w:t xml:space="preserve"> </w:t>
      </w:r>
      <w:r>
        <w:t xml:space="preserve">spp.) and piñon pine (</w:t>
      </w:r>
      <w:r>
        <w:rPr>
          <w:i/>
          <w:iCs/>
        </w:rPr>
        <w:t xml:space="preserve">Pinus</w:t>
      </w:r>
      <w:r>
        <w:t xml:space="preserve"> </w:t>
      </w:r>
      <w:r>
        <w:t xml:space="preserve">spp.) species were declining in portions of their range, comparing mortality to recruitment rates.</w:t>
      </w:r>
    </w:p>
    <w:p>
      <w:pPr>
        <w:pStyle w:val="BodyText"/>
      </w:pPr>
      <w:r>
        <w:t xml:space="preserve">Climate change manifested through increases or intensification in drought and aridity can affect tree mortality directly and indirectly. Direct impacts include physiological damage while indirect causes include increasing wildfire, insect, and disease outbreak frequency and severity. Hammond et al. (2022) found globally that the intensity of drought and heat events are directly associated with widespread forest die-off events. Wildfire frequency and area burned in the western United States has increased in concert with the longer fire seasons, hotter summer temperatures, and earlier snowmelt (Abatzoglou and Williams 2016, Westerling 2016, Juang et al. 2022). There have also been regional increases in the area affected by bark beetle outbreaks (subfamily</w:t>
      </w:r>
      <w:r>
        <w:t xml:space="preserve"> </w:t>
      </w:r>
      <w:r>
        <w:rPr>
          <w:i/>
          <w:iCs/>
        </w:rPr>
        <w:t xml:space="preserve">Scolytinae</w:t>
      </w:r>
      <w:r>
        <w:t xml:space="preserve"> </w:t>
      </w:r>
      <w:r>
        <w:t xml:space="preserve">spp.; Meddens et al. 2012, Hicke et al. 2016). Many of these indirect climate-influenced mortality causes may be attributable to the physical condition of trees following abnormal or prolonged exposure to water stress.</w:t>
      </w:r>
    </w:p>
    <w:p>
      <w:pPr>
        <w:pStyle w:val="BodyText"/>
      </w:pPr>
      <w:r>
        <w:t xml:space="preserve">Carbon starvation and hydraulic failure can drive drought-induced mortality (see reviews by Adams et al. 2010, Sala et al. 2010, 2012, and McDowell et al. 2008). Carbon starvation occurs when isohydric species (e.g., piñon pine,</w:t>
      </w:r>
      <w:r>
        <w:t xml:space="preserve"> </w:t>
      </w:r>
      <w:r>
        <w:rPr>
          <w:i/>
          <w:iCs/>
        </w:rPr>
        <w:t xml:space="preserve">Pinus edulis</w:t>
      </w:r>
      <w:r>
        <w:t xml:space="preserve">; Breshears et al. 2009), or those which mainly rely on stomatal closure to avoid excessive water loss through evapotranspiration (ET), receive insufficient atmospheric carbon dioxide for photosynthesis. Anisohydric plants, or those that do not strongly regulate water loss through stomatal closure, risk hydraulic failure if sufficient xylem cavitation occurs due to insufficient water uptake needed to meet ET demands (e.g., as seen in</w:t>
      </w:r>
      <w:r>
        <w:t xml:space="preserve"> </w:t>
      </w:r>
      <w:r>
        <w:rPr>
          <w:i/>
          <w:iCs/>
        </w:rPr>
        <w:t xml:space="preserve">Populus tremuloides</w:t>
      </w:r>
      <w:r>
        <w:t xml:space="preserve">; Anderegg et al. 2015). Adams et al. (2017) performed a review of drought-induced mortality across 26 species and concluded that hydraulic failure occurred broadly across taxa while non-structural carbohydrate reserves at the time of mortality differed across taxa. Regardless of mechanism, drought (specifically, water deficit) appears to be an important direct driver of mortality for tree taxa (Hammond et al. 2022).</w:t>
      </w:r>
    </w:p>
    <w:p>
      <w:pPr>
        <w:pStyle w:val="BodyText"/>
      </w:pPr>
      <w:r>
        <w:t xml:space="preserve">Given the importance of water stress on tree mortality, selecting an appropriate metric is critical for rangewide assessments. One regionally useful metric of water stress is Climatic Water Deficit (CWD; Stephenson 1998). Stephenson (1990) defined CWD as evaporative demand not met by available water, or the difference between plant water demand (actual evapotranspiration, AET), and plant water supply (potential evapotranspiration); these variables are driven by temperature and precipitation, respectively. Anderegg et al. (2015) conducted a tree mortality study that relied on CWD to capture drought occurrence. Das et al. (2013) determined that low-elevation California tree mortality was best modeled using CWD. Restaino et al. (2016) found decreased Douglass fir growth with an increase in CWD.</w:t>
      </w:r>
    </w:p>
    <w:p>
      <w:pPr>
        <w:pStyle w:val="BodyText"/>
      </w:pPr>
      <w:r>
        <w:t xml:space="preserve">Data from the U.S. National Forest Inventory, collected by the US Forest Service Forest Inventory and Analysis Program (FIA), is well suited for evaluating regional species growth and mortality. Since 1999 the FIA program has gathered a variety of forestry data at plots nationwide using a spatially balanced sampling design (McRoberts 2005, Reams et al. 2005, Woudenberg et al. 2010). The sampling design allows for approximately unbiased design-based inference of population characteristics across large geographical regions and is especially well suited for quantifying large scale climatic effects on populations of trees. Data from plot revisits permit robust estimation of change features such as mortality and growth rates</w:t>
      </w:r>
    </w:p>
    <w:p>
      <w:pPr>
        <w:pStyle w:val="BodyText"/>
      </w:pPr>
      <w:r>
        <w:t xml:space="preserve">Climatic data such as mean annual temperature and CWD can be combined with FIA data to obtain climate-related design-based estimates. Monleon and Lintz (2015) evaluated the evidence of tree species range shifts by subtracting the design-based mean estimates of FIA plot temperatures for seedlings from those of mature trees. However, FIA plot revisit data were mostly incomplete at the time of their analysis. In contrast, Groom and Monleon (2023) used nearly completed revisit data to compare plot climate variable values (vapor pressure deficit [VPD], temperature, and precipitation) to estimate shifts in plot occupancy and density. Both studies used a single climate variable value associated with each plot for estimation; e.g., Groom and Monleon (2023) examined shifts in species density by estimating the difference in VPD means between plots that gained trees of a given species and plots that lost trees. They documented that the initial values of a climate variable could (and often did) change between plot visits, with species’ plots exhibiting positive or negative correlations between the values of the climate variable at the initial visit and changes in the values at subsequent visits. They identified that their design-based analysis would potentially improve if they could simultaneously include both initial visit and change values for the climate variable.</w:t>
      </w:r>
    </w:p>
    <w:p>
      <w:pPr>
        <w:pStyle w:val="BodyText"/>
      </w:pPr>
      <w:r>
        <w:t xml:space="preserve">Our study has two objectives. The first is to utilize a design-based estimation approach for tree growth and mortality across 23 species that simultaneously accounts for initial plot CWD values and the change in CWD values between measurements. The approach relies on domain estimation, where domains are defined by initial plot conditions and the change in those conditions between visits. The analysis evaluates differences in domains by estimating contrasts among them. Second, we provide current growth and mortality estimates for our analysis species across our study area and by state to establish species status and to inform our climate analysis findings.</w:t>
      </w:r>
    </w:p>
    <w:bookmarkEnd w:id="21"/>
    <w:bookmarkStart w:id="31" w:name="methods"/>
    <w:p>
      <w:pPr>
        <w:pStyle w:val="Heading1"/>
      </w:pPr>
      <w:r>
        <w:t xml:space="preserve">2. Methods</w:t>
      </w:r>
    </w:p>
    <w:bookmarkStart w:id="23" w:name="fia-data"/>
    <w:p>
      <w:pPr>
        <w:pStyle w:val="Heading2"/>
      </w:pPr>
      <w:r>
        <w:t xml:space="preserve">2.1 FIA data</w:t>
      </w:r>
    </w:p>
    <w:p>
      <w:pPr>
        <w:pStyle w:val="FirstParagraph"/>
      </w:pPr>
      <w:r>
        <w:t xml:space="preserve">Our analysis relies on FIA data for forestland in California, Oregon, and Washington, USA. Forestland is defined as an area of at least 4,050 m</w:t>
      </w:r>
      <w:r>
        <w:rPr>
          <w:vertAlign w:val="superscript"/>
        </w:rPr>
        <w:t xml:space="preserve">2</w:t>
      </w:r>
      <w:r>
        <w:t xml:space="preserve"> </w:t>
      </w:r>
      <w:r>
        <w:t xml:space="preserve">(i.e., one acre) that is at least 10 percent stocked or potentially stocked with tree species, excluding urban and agricultural land uses (Reams et al. 2005). We constrained our analysis to only include remeasurements for areas considered forestland during both visits.</w:t>
      </w:r>
    </w:p>
    <w:p>
      <w:pPr>
        <w:pStyle w:val="BodyText"/>
      </w:pPr>
      <w:r>
        <w:t xml:space="preserve">In the coterminous United States the FIA program uses a spatially balanced, quasi-systematic sampling design. Plots are randomly located and produce sampling intensities of approximately 2,400 hectares per plot, with some denser areas such as those located on national forest system lands. In the western United States, each plot is assigned to one of ten panels, and approximately one panel is measured each year in perpetuity, yielding ten-year remeasurement intervals on each plot, barring exceptions owing to optional temporal intensifications (Thompson 2015). In this study, we use only those plots that are part of the standard sampling intensity and have been remeasured at an interval of ten years. Each FIA plot consists, in part, of four 7.32 m radius subplots where all trees with stem diameters greater than or equal to 12.7 cm (for most species measured at 1.37 m above the ground) were tallied with additional trees sampled in an annulus around each subplot (macroplot), with a total radius 18 m from the center point and a total area of 1012 m</w:t>
      </w:r>
      <w:r>
        <w:rPr>
          <w:vertAlign w:val="superscript"/>
        </w:rPr>
        <w:t xml:space="preserve">2</w:t>
      </w:r>
      <w:r>
        <w:t xml:space="preserve">. We did not include data from microplots, where seedlings and saplings are measured, as the analysis was not intended to estimate species recruitment but rather to follow the trajectory of established trees. Reams et al. (2005) and Bechtold and Scott (2005) provide plot design details and measurement protocols.</w:t>
      </w:r>
    </w:p>
    <w:p>
      <w:pPr>
        <w:pStyle w:val="BodyText"/>
      </w:pPr>
      <w:r>
        <w:t xml:space="preserve">Our analysis depends on examining the fate and growth of trees measured during two sequential visits (referred to as the first and second plot visit), from a sample containing complete remeasurements. Tree growth is the observed increase in marked tree bole diameter between visits (cm</w:t>
      </w:r>
      <w:r>
        <w:rPr>
          <w:vertAlign w:val="superscript"/>
        </w:rPr>
        <w:t xml:space="preserve">2</w:t>
      </w:r>
      <w:r>
        <w:t xml:space="preserve">) while mortality is captured from the change in tree condition. We obtained our FIA data from the USDA FIA DataMart web portal (</w:t>
      </w:r>
      <w:hyperlink r:id="rId22">
        <w:r>
          <w:rPr>
            <w:rStyle w:val="Hyperlink"/>
          </w:rPr>
          <w:t xml:space="preserve">https://research.fs.usda.gov/products/dataandtools/fia-datamart</w:t>
        </w:r>
      </w:hyperlink>
      <w:r>
        <w:t xml:space="preserve">; downloaded May 5, 2025). The database included plot data sampled from 2001 to 2023.</w:t>
      </w:r>
    </w:p>
    <w:p>
      <w:pPr>
        <w:pStyle w:val="BodyText"/>
      </w:pPr>
      <w:r>
        <w:t xml:space="preserve">Remeasured trees within plots were retained in the analysis if they were alive at the initial visit and met the 12.7 cm stem diameter criterion during that visit (i.e., plot ingrowth was not included). The growth analysis further restricted trees to those that were alive at both visits. The mortality analysis excluded trees killed through silvicultural practices. Both analyses excluded trees that shrank in diameter, physically moved due to landslides or other events, were erroneously tallied at either visit, were missed due to data collection procedural changes, or existed at either visit in a nonsampled area.</w:t>
      </w:r>
    </w:p>
    <w:bookmarkEnd w:id="23"/>
    <w:bookmarkStart w:id="24" w:name="climate-data"/>
    <w:p>
      <w:pPr>
        <w:pStyle w:val="Heading2"/>
      </w:pPr>
      <w:r>
        <w:t xml:space="preserve">2.2 Climate data</w:t>
      </w:r>
    </w:p>
    <w:p>
      <w:pPr>
        <w:pStyle w:val="FirstParagraph"/>
      </w:pPr>
      <w:r>
        <w:t xml:space="preserve">We obtained plot-level CWD data from the TerraClimate dataset (Abatzoglou et al. 2018) for June, July, and August (summer months) between 1980 and 2023. In general, access to true plot coordinates is restricted to internal FIA staff or those approved to view them. For general use, FIA makes a set of perturbed plot coordinates available to the public, which are randomized locations typically located within 1.6 km of the true position, and up to 20 percent of plots on private land swapped with other randomized locations in similar forest types (Burrill et al. 2023). Perturbed plot coordinates have the potential to weaken correlations between forest attributes of interest and spatially explicit climate covariates, like the CWD data used in this study, because the perturbed locations may land in areas experiencing different climatic conditions. We determined that the Pearson’s correlation between the public and confidential CWD plot values was &gt; 0.99, so for simplicity we used the CWD values derived from public coordinates. The second author is authorized to handle confidential coordinates and conducted the correlation analysis. Using the public coordinates facilitates scientific replication by those external to FIA, and they are available in the database used for this study. We defined</w:t>
      </w:r>
      <w:r>
        <w:t xml:space="preserve"> </w:t>
      </w:r>
      <w:r>
        <w:t xml:space="preserve">‘initial CWD’</w:t>
      </w:r>
      <w:r>
        <w:t xml:space="preserve"> </w:t>
      </w:r>
      <w:r>
        <w:t xml:space="preserve">values as the 20-year mean of summer CWD values for each plot prior to and including the first visit year (initial CWD = mean of summer CWD from visit year</w:t>
      </w:r>
      <m:oMath>
        <m:sSub>
          <m:e>
            <m:r>
              <m:t>​</m:t>
            </m:r>
          </m:e>
          <m:sub>
            <m:r>
              <m:rPr>
                <m:sty m:val="p"/>
              </m:rPr>
              <m:t>−</m:t>
            </m:r>
            <m:r>
              <m:t>19</m:t>
            </m:r>
          </m:sub>
        </m:sSub>
      </m:oMath>
      <w:r>
        <w:t xml:space="preserve"> </w:t>
      </w:r>
      <w:r>
        <w:t xml:space="preserve">to year</w:t>
      </w:r>
      <m:oMath>
        <m:sSub>
          <m:e>
            <m:r>
              <m:t>​</m:t>
            </m:r>
          </m:e>
          <m:sub>
            <m:r>
              <m:t>0</m:t>
            </m:r>
          </m:sub>
        </m:sSub>
      </m:oMath>
      <w:r>
        <w:t xml:space="preserve">). We then found the mean of summer CWD values between visits and including the second visit year (second visit CWD = mean of summer CWD from year</w:t>
      </w:r>
      <m:oMath>
        <m:sSub>
          <m:e>
            <m:r>
              <m:t>​</m:t>
            </m:r>
          </m:e>
          <m:sub>
            <m:r>
              <m:t>1</m:t>
            </m:r>
          </m:sub>
        </m:sSub>
      </m:oMath>
      <w:r>
        <w:t xml:space="preserve"> </w:t>
      </w:r>
      <w:r>
        <w:t xml:space="preserve">to year</w:t>
      </w:r>
      <m:oMath>
        <m:sSub>
          <m:e>
            <m:r>
              <m:t>​</m:t>
            </m:r>
          </m:e>
          <m:sub>
            <m:r>
              <m:t>10</m:t>
            </m:r>
          </m:sub>
        </m:sSub>
      </m:oMath>
      <w:r>
        <w:t xml:space="preserve">). We then defined</w:t>
      </w:r>
      <w:r>
        <w:t xml:space="preserve"> </w:t>
      </w:r>
      <w:r>
        <w:t xml:space="preserve">‘delta CWD’</w:t>
      </w:r>
      <w:r>
        <w:t xml:space="preserve"> </w:t>
      </w:r>
      <w:r>
        <w:t xml:space="preserve">as the second visit CWD values minus initial CWD values. Figure 1 presents maps of both the initial CWD and delta CWD values for forested and nonforested FIA plots.</w:t>
      </w:r>
    </w:p>
    <w:bookmarkEnd w:id="24"/>
    <w:bookmarkStart w:id="26" w:name="species-classification"/>
    <w:p>
      <w:pPr>
        <w:pStyle w:val="Heading2"/>
      </w:pPr>
      <w:r>
        <w:t xml:space="preserve">2.3 Species Classification</w:t>
      </w:r>
    </w:p>
    <w:p>
      <w:pPr>
        <w:pStyle w:val="FirstParagraph"/>
      </w:pPr>
      <w:r>
        <w:t xml:space="preserve">We coarsely categorized tree species by several taxonomic and ecological characteristics, such as tree type (angiosperm [hardwood] vs. conifer), drought tolerance, fire adaption, elevation, shade tolerance, and mesic and riparian specialization. We obtained the category information from</w:t>
      </w:r>
      <w:r>
        <w:t xml:space="preserve"> </w:t>
      </w:r>
      <w:hyperlink r:id="rId25">
        <w:r>
          <w:rPr>
            <w:rStyle w:val="Hyperlink"/>
          </w:rPr>
          <w:t xml:space="preserve">https://plants.usda.gov/</w:t>
        </w:r>
      </w:hyperlink>
      <w:r>
        <w:t xml:space="preserve"> </w:t>
      </w:r>
      <w:r>
        <w:t xml:space="preserve">(accessed 12/12/2025) and Burns and Honkala (1990a, 1990b). Categorization was done to aid the presentation of results; some species could fall under more than one category (e.g., we classified</w:t>
      </w:r>
      <w:r>
        <w:t xml:space="preserve"> </w:t>
      </w:r>
      <w:r>
        <w:rPr>
          <w:i/>
          <w:iCs/>
        </w:rPr>
        <w:t xml:space="preserve">Picea engelmannii</w:t>
      </w:r>
      <w:r>
        <w:t xml:space="preserve"> </w:t>
      </w:r>
      <w:r>
        <w:t xml:space="preserve">as a high elevation conifer [HEC] while it could have been classified as a shade-tolerant conifer [STC]). Our categories with abbreviations also include fire-adapted conifers (FAC), drought-tolerant conifers (DTC), drought-tolerant hardwoods (DTH) and riparian and mesic hardwoods (RMH). These abbreviations are used in Tables 1 and 2.</w:t>
      </w:r>
    </w:p>
    <w:bookmarkEnd w:id="26"/>
    <w:bookmarkStart w:id="27" w:name="analysis"/>
    <w:p>
      <w:pPr>
        <w:pStyle w:val="Heading2"/>
      </w:pPr>
      <w:r>
        <w:t xml:space="preserve">2.4 Analysis</w:t>
      </w:r>
    </w:p>
    <w:p>
      <w:pPr>
        <w:pStyle w:val="FirstParagraph"/>
      </w:pPr>
      <w:r>
        <w:t xml:space="preserve">We limited the number of species examined to those with more than 400 occupied plots across the states of Oregon, Washington, and California. We obtained point estimates of species growth and mortality using ratio estimators (Eqn 4.16 in Scott et al. 2005). We expanded the number of trees in each plot by the area measured (subplot or macroplot area) adjusted by the proportion of the plot area available for measurement and the number of years between visits, which generally aligns with the set of mortality trees used in FIA estimates of change components (Scott et al. 2005). The mortality estimator describes the proportion of trees that transitioned from live to dead between remeasurements. For a given species mortality is calculated as a ratio, with the numerator equaling the sum of stratum-weighted means, where each mean is the sum of trees that died between visits within each FIA stratum (Scott et al. 2005) divided by the number of plots within the stratum. The denominator for the mortality estimator is also a sum of stratum-weighted means, except each mean is the sum of all live trees within a stratum at the initial visit divided by the number of plots within the stratum.</w:t>
      </w:r>
    </w:p>
    <w:p>
      <w:pPr>
        <w:pStyle w:val="BodyText"/>
      </w:pPr>
      <w:r>
        <w:t xml:space="preserve">The species-specific growth estimate is also a ratio with the numerator calculated as the sum of stratum-weighted means, where each mean is the sum of tree basal area increase (cm</w:t>
      </w:r>
      <w:r>
        <w:rPr>
          <w:vertAlign w:val="superscript"/>
        </w:rPr>
        <w:t xml:space="preserve">2</w:t>
      </w:r>
      <w:r>
        <w:t xml:space="preserve">) between visits within the stratum divided by the number of plots in the stratum while the denominator is the same as was used for the mortality estimator. This produces a point estimate for a species’ mean growth on an individual tree basis for those trees that are alive at both visits, which generally aligns with the set of survivor trees used in FIA estimates of change components (Scott et al. 2005). We standardized mortality and growth values to a decadal time period.</w:t>
      </w:r>
    </w:p>
    <w:p>
      <w:pPr>
        <w:pStyle w:val="BodyText"/>
      </w:pPr>
      <w:r>
        <w:t xml:space="preserve">We report species mortality and growth estimates for all plots across (</w:t>
      </w:r>
      <w:r>
        <w:t xml:space="preserve">“overall”</w:t>
      </w:r>
      <w:r>
        <w:t xml:space="preserve">) and within Oregon, Washington, and California. Separately, we investigate climatic effects on tree mortality and growth by partitioning trees into subpopulations (domains). For individual species we estimate domain means and measures of uncertainty for both mortality and growth. In this study we use six domains based on CWD values. We created the domains based on initial CWD plot values by partitioning the values into three species-specific quantiles: values below the first quartile (Low), between the first and third quartiles (Medium), and above the third quartile (High; Figure 2C). We defined the two domains for delta CWD plot values for all species as those above a 5 mm CWD change threshold, which we interpret as increasing in CWD (Increasing), and those below the threshold as stable (Stable). We applied the 5 mm threshold across species because species’ delta CWD value distributions did not differ greatly and because 5 mm is approximately the grand mean delta CWD value (Table S2). The Stable domains may include some negative delta CWD values (i.e., the mean CWD value was larger prior to the initial visit than between visits); however, these instances were rare and of small magnitude. The domain designations IL, IM, and IH correspond to Increasing Low, Increasing Medium, and Increasing High. The Stable domains are similarly labeled (SL, SM, SH). These six within-domain estimates allowed us to establish mortality and growth rates for trees of a given species that experienced similar climatic conditions. We calculated growth and mortality estimates for each domain with 10 or more plots.</w:t>
      </w:r>
    </w:p>
    <w:p>
      <w:pPr>
        <w:pStyle w:val="BodyText"/>
      </w:pPr>
      <w:r>
        <w:t xml:space="preserve">In addition to within-domain estimates, we examined growth and mortality contrasts among CWD domains. This allowed us to evaluate if trees between two CWD domains are experiencing meaningful differences in growth and mortality. For example, estimates of contrasts reveal whether trees in historically dry sites (High initial CWD) respond differently to increased water stress (Increasing, or above threshold delta CWD) compared to trees in mesic sites (Low initial CWD) experiencing similar increases, among other comparisons.</w:t>
      </w:r>
    </w:p>
    <w:p>
      <w:pPr>
        <w:pStyle w:val="BodyText"/>
      </w:pPr>
      <w:r>
        <w:t xml:space="preserve">We obtained empirical means and 95% confidence intervals via a nonparametric bootstrap. For each of the 1000 bootstrap iterations we sampled FIA plots with replacement and obtained species point estimates for each domain, yielding a maximum of 138 domain point estimates for each iteration. For each domain we calculated a mean, upper, and lower 95% CI with the 2.5% and 97.5% quantiles from the bootstrap iterations. This approach allows for asymmetrical CIs around means. We estimated contrasts between pairs of CWD domains by subtracting within-iteration domain point estimates.</w:t>
      </w:r>
    </w:p>
    <w:p>
      <w:pPr>
        <w:pStyle w:val="BodyText"/>
      </w:pPr>
      <w:r>
        <w:t xml:space="preserve">Our contrast analysis approach resulted in hundreds of comparisons. Given the large number of tests, we caution readers to interpret significant differences (i.e., contrast 95% CIs that do not include zero) with caution, as some proportion likely represent Type-I errors and occurred by chance. We did not apply a multiple comparisons correction as (1) our analysis is inherently exploratory, aimed at identifying patterns within and across species rather than testing a specific</w:t>
      </w:r>
      <w:r>
        <w:t xml:space="preserve"> </w:t>
      </w:r>
      <w:r>
        <w:rPr>
          <w:i/>
          <w:iCs/>
        </w:rPr>
        <w:t xml:space="preserve">a priori</w:t>
      </w:r>
      <w:r>
        <w:t xml:space="preserve"> </w:t>
      </w:r>
      <w:r>
        <w:t xml:space="preserve">hypothesis, and (2) because we did not want to inflate the Type-II error rate and obscure real relationships in favor of reducing false positive findings.</w:t>
      </w:r>
    </w:p>
    <w:bookmarkEnd w:id="27"/>
    <w:bookmarkStart w:id="30" w:name="dashboard"/>
    <w:p>
      <w:pPr>
        <w:pStyle w:val="Heading2"/>
      </w:pPr>
      <w:r>
        <w:t xml:space="preserve">2.5 Dashboard</w:t>
      </w:r>
    </w:p>
    <w:p>
      <w:pPr>
        <w:pStyle w:val="FirstParagraph"/>
      </w:pPr>
      <w:r>
        <w:t xml:space="preserve">We developed a data dashboard (</w:t>
      </w:r>
      <w:hyperlink r:id="rId28">
        <w:r>
          <w:rPr>
            <w:rStyle w:val="Hyperlink"/>
          </w:rPr>
          <w:t xml:space="preserve">https://tinyurl.com/FIAgrowmort</w:t>
        </w:r>
      </w:hyperlink>
      <w:r>
        <w:t xml:space="preserve">) to enable ourselves and readers to examine individual species domain estimates, the distribution of initial and delta CWD values, and the public geographic locations of plots and plot domains. All analysis files, manuscript markdowns, dashboard code, and ancillary data sources are available at the GitHub repository</w:t>
      </w:r>
      <w:r>
        <w:t xml:space="preserve"> </w:t>
      </w:r>
      <w:hyperlink r:id="rId29">
        <w:r>
          <w:rPr>
            <w:rStyle w:val="Hyperlink"/>
          </w:rPr>
          <w:t xml:space="preserve">https://github.com/jeremygroom/Tree_Growth_Death</w:t>
        </w:r>
      </w:hyperlink>
      <w:r>
        <w:t xml:space="preserve">.</w:t>
      </w:r>
    </w:p>
    <w:bookmarkEnd w:id="30"/>
    <w:bookmarkEnd w:id="31"/>
    <w:bookmarkStart w:id="37" w:name="results"/>
    <w:p>
      <w:pPr>
        <w:pStyle w:val="Heading1"/>
      </w:pPr>
      <w:r>
        <w:t xml:space="preserve">3. Results</w:t>
      </w:r>
    </w:p>
    <w:p>
      <w:pPr>
        <w:pStyle w:val="FirstParagraph"/>
      </w:pPr>
      <w:r>
        <w:t xml:space="preserve">Our study tracked the fate of 272,941 trees from 23 species in 12,297 plots that were visited twice by FIA crews. Of the 23 species, 17 were gymnosperms. The two visits were 10 years apart for 86.5% of plots (3.5% were 9 years, 7.3% were 11 years). Plots were distributed across 609 strata spanning forested regions in all three states, from coastal temperate rainforest to semi-arid interior woodlands.</w:t>
      </w:r>
    </w:p>
    <w:bookmarkStart w:id="33" w:name="climatic-water-deficit"/>
    <w:p>
      <w:pPr>
        <w:pStyle w:val="Heading2"/>
      </w:pPr>
      <w:r>
        <w:t xml:space="preserve">3.1 Climatic Water Deficit</w:t>
      </w:r>
    </w:p>
    <w:p>
      <w:pPr>
        <w:pStyle w:val="FirstParagraph"/>
      </w:pPr>
      <w:r>
        <w:t xml:space="preserve">Delta CWD was greater than zero (i.e., CWD increased) for 91.6% of plots. The increases occurred in all forested regions of the three states (Figure 1C). Plots where CWD decreased (indicated by negative delta CWD values) are presented alone in Figure S1. For Washington and Oregon negative CWD values were almost entirely found in the Coast Ranges and the mesic west slope of the Cascades Range crest. The Blue Mountains and northern and northeastern Washington lacked negative delta CWD plots entirely. In California negative delta CWD plots with values &lt; -1.0 mm were primarily found in the northern Sierra Nevada and in the southern portions of the state. Overall, there was a weak, positive linear correlation (Pearson’s correlation = 0.30) between initial and delta CWD values. The two variables were better modeled with a 3rd order polynomial although the resulting R</w:t>
      </w:r>
      <w:r>
        <w:rPr>
          <w:vertAlign w:val="superscript"/>
        </w:rPr>
        <w:t xml:space="preserve">2</w:t>
      </w:r>
      <w:r>
        <w:t xml:space="preserve"> </w:t>
      </w:r>
      <w:r>
        <w:t xml:space="preserve">value still indicated that the variance was not well explained by the model (</w:t>
      </w:r>
      <m:oMath>
        <m:r>
          <m:t>Δ</m:t>
        </m:r>
        <m:r>
          <m:t>A</m:t>
        </m:r>
        <m:r>
          <m:t>I</m:t>
        </m:r>
        <m:r>
          <m:t>C</m:t>
        </m:r>
      </m:oMath>
      <w:r>
        <w:t xml:space="preserve"> </w:t>
      </w:r>
      <w:r>
        <w:t xml:space="preserve">= 777, R</w:t>
      </w:r>
      <w:r>
        <w:rPr>
          <w:vertAlign w:val="superscript"/>
        </w:rPr>
        <w:t xml:space="preserve">2</w:t>
      </w:r>
      <w:r>
        <w:t xml:space="preserve"> </w:t>
      </w:r>
      <w:r>
        <w:t xml:space="preserve">= 0.15, Figure S2, see model fits in Tables S1 and S2), implying that other processes likely affected the relationship between initial and delta CWD. For most species delta CWD was neither linearly related to nor monotonically increased with initial CWD values (Figure S3; see dashboard). For instance, the relationship between the initial and delta CWD values for</w:t>
      </w:r>
      <w:r>
        <w:t xml:space="preserve"> </w:t>
      </w:r>
      <w:r>
        <w:rPr>
          <w:i/>
          <w:iCs/>
        </w:rPr>
        <w:t xml:space="preserve">Calocedrus decurrens</w:t>
      </w:r>
      <w:r>
        <w:t xml:space="preserve"> </w:t>
      </w:r>
      <w:r>
        <w:t xml:space="preserve">may be described overall with a concave curve, with some of the most negative delta CWD values occurring in the High domain (along with some of largest delta CWD values; Figure 2C).</w:t>
      </w:r>
    </w:p>
    <w:p>
      <w:pPr>
        <w:pStyle w:val="BodyText"/>
      </w:pPr>
      <w:r>
        <w:t xml:space="preserve">The distribution of initial CWD values across the three states (Figure 1A) reflected total annual precipitation normals for 1991-2000 (check against</w:t>
      </w:r>
      <w:r>
        <w:t xml:space="preserve"> </w:t>
      </w:r>
      <w:hyperlink r:id="rId32">
        <w:r>
          <w:rPr>
            <w:rStyle w:val="Hyperlink"/>
          </w:rPr>
          <w:t xml:space="preserve">https://www.climate.gov/media/13728</w:t>
        </w:r>
      </w:hyperlink>
      <w:r>
        <w:t xml:space="preserve">). The most mesic areas, the Coast Ranges and the west slope of the Cascade Range, coincided with the areas with the lowest initial CWD values.</w:t>
      </w:r>
    </w:p>
    <w:p>
      <w:pPr>
        <w:pStyle w:val="BodyText"/>
      </w:pPr>
      <w:r>
        <w:t xml:space="preserve">Initial CWD means and ranges differed among tree species (Table S3). The 23 species appeared to form two different groups by initial CWD and delta CWD (Figure 3). Eight species had mean delta CWD values &lt; 4.5 mm and mean initial CWD values &lt; 100 mm, and were well represented in the mesic Coast Ranges, coastal northwestern California, and the western slope of the Cascade Range (dashboard).</w:t>
      </w:r>
      <w:r>
        <w:t xml:space="preserve"> </w:t>
      </w:r>
      <w:r>
        <w:rPr>
          <w:i/>
          <w:iCs/>
        </w:rPr>
        <w:t xml:space="preserve">Abies amabilis</w:t>
      </w:r>
      <w:r>
        <w:t xml:space="preserve"> </w:t>
      </w:r>
      <w:r>
        <w:t xml:space="preserve">had the smallest mean value for initial CWD (43.2 mm) while</w:t>
      </w:r>
      <w:r>
        <w:t xml:space="preserve"> </w:t>
      </w:r>
      <w:r>
        <w:rPr>
          <w:i/>
          <w:iCs/>
        </w:rPr>
        <w:t xml:space="preserve">Juniperus occidentalis</w:t>
      </w:r>
      <w:r>
        <w:t xml:space="preserve"> </w:t>
      </w:r>
      <w:r>
        <w:t xml:space="preserve">had both the largest mean value (149.6 mm) and smallest range (5th percentile = 132 mm, 95th percentile = 163.2 mm).</w:t>
      </w:r>
      <w:r>
        <w:t xml:space="preserve"> </w:t>
      </w:r>
      <w:r>
        <w:rPr>
          <w:i/>
          <w:iCs/>
        </w:rPr>
        <w:t xml:space="preserve">Pseudotsuga menziesii</w:t>
      </w:r>
      <w:r>
        <w:t xml:space="preserve"> </w:t>
      </w:r>
      <w:r>
        <w:t xml:space="preserve">occupied the plots with the largest range of initial CWD values (5th percentile = 30.2 mm, 95th percentile = 138.6 mm) and was the most widely distributed of the 23 species examined (dashboard).</w:t>
      </w:r>
    </w:p>
    <w:p>
      <w:pPr>
        <w:pStyle w:val="BodyText"/>
      </w:pPr>
      <w:r>
        <w:t xml:space="preserve">Species did not differ greatly by delta CWD (Table S4). The riparian species</w:t>
      </w:r>
      <w:r>
        <w:t xml:space="preserve"> </w:t>
      </w:r>
      <w:r>
        <w:rPr>
          <w:i/>
          <w:iCs/>
        </w:rPr>
        <w:t xml:space="preserve">Alnus rubra</w:t>
      </w:r>
      <w:r>
        <w:t xml:space="preserve"> </w:t>
      </w:r>
      <w:r>
        <w:t xml:space="preserve">had the smallest mean delta CWD value of 2.4 mm (5th percentile = -1.6 mm, 95th percentile = 7.5 mm). The species with the second smallest mean (2.9mm) and smallest range of delta CWD values (5th percentile = -0.3 mm, 95th percentile = 6.8 mm) was the largely coastal</w:t>
      </w:r>
      <w:r>
        <w:t xml:space="preserve"> </w:t>
      </w:r>
      <w:r>
        <w:rPr>
          <w:i/>
          <w:iCs/>
        </w:rPr>
        <w:t xml:space="preserve">Notholithocarpus densiflorus</w:t>
      </w:r>
      <w:r>
        <w:t xml:space="preserve">. The mostly high-elevation</w:t>
      </w:r>
      <w:r>
        <w:t xml:space="preserve"> </w:t>
      </w:r>
      <w:r>
        <w:rPr>
          <w:i/>
          <w:iCs/>
        </w:rPr>
        <w:t xml:space="preserve">Picea engelmannii</w:t>
      </w:r>
      <w:r>
        <w:t xml:space="preserve"> </w:t>
      </w:r>
      <w:r>
        <w:t xml:space="preserve">had the largest mean increase in CWD values of 6.4 mm (5th percentile = 2.7 mm, 95th percentile = 10.1 mm).</w:t>
      </w:r>
      <w:r>
        <w:t xml:space="preserve"> </w:t>
      </w:r>
      <w:r>
        <w:rPr>
          <w:i/>
          <w:iCs/>
        </w:rPr>
        <w:t xml:space="preserve">Pinus jeffreyi</w:t>
      </w:r>
      <w:r>
        <w:t xml:space="preserve">, another high-elevation species, had the greatest range in delta CWD values (5th percentile = -1.2 mm, 95th percentile = 11.1 mm).</w:t>
      </w:r>
    </w:p>
    <w:bookmarkEnd w:id="33"/>
    <w:bookmarkStart w:id="34" w:name="growth"/>
    <w:p>
      <w:pPr>
        <w:pStyle w:val="Heading2"/>
      </w:pPr>
      <w:r>
        <w:t xml:space="preserve">3.2 Growth</w:t>
      </w:r>
    </w:p>
    <w:p>
      <w:pPr>
        <w:pStyle w:val="FirstParagraph"/>
      </w:pPr>
      <w:r>
        <w:t xml:space="preserve">Overall growth rates differed by species but in some instances coincided with species’ ecological traits. For instance, the drought-tolerant hardwoods (</w:t>
      </w:r>
      <w:r>
        <w:rPr>
          <w:i/>
          <w:iCs/>
        </w:rPr>
        <w:t xml:space="preserve">Arbutus menziesii</w:t>
      </w:r>
      <w:r>
        <w:t xml:space="preserve">,</w:t>
      </w:r>
      <w:r>
        <w:t xml:space="preserve"> </w:t>
      </w:r>
      <w:r>
        <w:rPr>
          <w:i/>
          <w:iCs/>
        </w:rPr>
        <w:t xml:space="preserve">Notholithocarpus densiflorus</w:t>
      </w:r>
      <w:r>
        <w:t xml:space="preserve">,</w:t>
      </w:r>
      <w:r>
        <w:t xml:space="preserve"> </w:t>
      </w:r>
      <w:r>
        <w:rPr>
          <w:i/>
          <w:iCs/>
        </w:rPr>
        <w:t xml:space="preserve">Quercus chrysolepis</w:t>
      </w:r>
      <w:r>
        <w:t xml:space="preserve">, and</w:t>
      </w:r>
      <w:r>
        <w:t xml:space="preserve"> </w:t>
      </w:r>
      <w:r>
        <w:rPr>
          <w:i/>
          <w:iCs/>
        </w:rPr>
        <w:t xml:space="preserve">Quercus kelloggii</w:t>
      </w:r>
      <w:r>
        <w:t xml:space="preserve">) exhibited the lowest growth rates overall, with all mean decadal basal area increases &lt; 75 cm</w:t>
      </w:r>
      <w:r>
        <w:rPr>
          <w:vertAlign w:val="superscript"/>
        </w:rPr>
        <w:t xml:space="preserve">2</w:t>
      </w:r>
      <w:r>
        <w:t xml:space="preserve"> </w:t>
      </w:r>
      <w:r>
        <w:t xml:space="preserve">(Table 1).</w:t>
      </w:r>
      <w:r>
        <w:t xml:space="preserve"> </w:t>
      </w:r>
      <w:r>
        <w:rPr>
          <w:i/>
          <w:iCs/>
        </w:rPr>
        <w:t xml:space="preserve">Quercus chrysolepis</w:t>
      </w:r>
      <w:r>
        <w:t xml:space="preserve"> </w:t>
      </w:r>
      <w:r>
        <w:t xml:space="preserve">had the lowest mean growth rate of the four species at 40.5 cm</w:t>
      </w:r>
      <w:r>
        <w:rPr>
          <w:vertAlign w:val="superscript"/>
        </w:rPr>
        <w:t xml:space="preserve">2</w:t>
      </w:r>
      <w:r>
        <w:t xml:space="preserve">/decade. Riparian and mesic hardwoods like</w:t>
      </w:r>
      <w:r>
        <w:t xml:space="preserve"> </w:t>
      </w:r>
      <w:r>
        <w:rPr>
          <w:i/>
          <w:iCs/>
        </w:rPr>
        <w:t xml:space="preserve">Acer macrophyllum</w:t>
      </w:r>
      <w:r>
        <w:t xml:space="preserve"> </w:t>
      </w:r>
      <w:r>
        <w:t xml:space="preserve">and</w:t>
      </w:r>
      <w:r>
        <w:t xml:space="preserve"> </w:t>
      </w:r>
      <w:r>
        <w:rPr>
          <w:i/>
          <w:iCs/>
        </w:rPr>
        <w:t xml:space="preserve">Alnus rubra</w:t>
      </w:r>
      <w:r>
        <w:t xml:space="preserve"> </w:t>
      </w:r>
      <w:r>
        <w:t xml:space="preserve">on average grew by 145 cm</w:t>
      </w:r>
      <w:r>
        <w:rPr>
          <w:vertAlign w:val="superscript"/>
        </w:rPr>
        <w:t xml:space="preserve">2</w:t>
      </w:r>
      <w:r>
        <w:t xml:space="preserve">/decade, although growth for</w:t>
      </w:r>
      <w:r>
        <w:t xml:space="preserve"> </w:t>
      </w:r>
      <w:r>
        <w:rPr>
          <w:i/>
          <w:iCs/>
        </w:rPr>
        <w:t xml:space="preserve">Acer macrophyllum</w:t>
      </w:r>
      <w:r>
        <w:t xml:space="preserve"> </w:t>
      </w:r>
      <w:r>
        <w:t xml:space="preserve">varied by state; its mean growth in California was 52.3 cm</w:t>
      </w:r>
      <w:r>
        <w:rPr>
          <w:vertAlign w:val="superscript"/>
        </w:rPr>
        <w:t xml:space="preserve">2</w:t>
      </w:r>
      <w:r>
        <w:t xml:space="preserve">/decade, less than half of its growth rate in Oregon and almost four times less than its growth rate in Washington. High-elevation conifers like</w:t>
      </w:r>
      <w:r>
        <w:t xml:space="preserve"> </w:t>
      </w:r>
      <w:r>
        <w:rPr>
          <w:i/>
          <w:iCs/>
        </w:rPr>
        <w:t xml:space="preserve">Abies concolor</w:t>
      </w:r>
      <w:r>
        <w:t xml:space="preserve"> </w:t>
      </w:r>
      <w:r>
        <w:t xml:space="preserve">and</w:t>
      </w:r>
      <w:r>
        <w:t xml:space="preserve"> </w:t>
      </w:r>
      <w:r>
        <w:rPr>
          <w:i/>
          <w:iCs/>
        </w:rPr>
        <w:t xml:space="preserve">Picea engelmannii</w:t>
      </w:r>
      <w:r>
        <w:t xml:space="preserve"> </w:t>
      </w:r>
      <w:r>
        <w:t xml:space="preserve">grew at similar rates in Oregon, approximately 170-190 cm</w:t>
      </w:r>
      <w:r>
        <w:rPr>
          <w:vertAlign w:val="superscript"/>
        </w:rPr>
        <w:t xml:space="preserve">2</w:t>
      </w:r>
      <w:r>
        <w:t xml:space="preserve">/decade. In Washington the rate for</w:t>
      </w:r>
      <w:r>
        <w:t xml:space="preserve"> </w:t>
      </w:r>
      <w:r>
        <w:rPr>
          <w:i/>
          <w:iCs/>
        </w:rPr>
        <w:t xml:space="preserve">Picea engelmannii</w:t>
      </w:r>
      <w:r>
        <w:t xml:space="preserve"> </w:t>
      </w:r>
      <w:r>
        <w:t xml:space="preserve">was only 125.4 cm/decade. The other high-elevation conifers,</w:t>
      </w:r>
      <w:r>
        <w:t xml:space="preserve"> </w:t>
      </w:r>
      <w:r>
        <w:rPr>
          <w:i/>
          <w:iCs/>
        </w:rPr>
        <w:t xml:space="preserve">Abies lasiocarpa</w:t>
      </w:r>
      <w:r>
        <w:t xml:space="preserve">, and</w:t>
      </w:r>
      <w:r>
        <w:t xml:space="preserve"> </w:t>
      </w:r>
      <w:r>
        <w:rPr>
          <w:i/>
          <w:iCs/>
        </w:rPr>
        <w:t xml:space="preserve">Tsuga mertensiana</w:t>
      </w:r>
      <w:r>
        <w:t xml:space="preserve"> </w:t>
      </w:r>
      <w:r>
        <w:t xml:space="preserve">grew more slowly at almost 70 cm</w:t>
      </w:r>
      <w:r>
        <w:rPr>
          <w:vertAlign w:val="superscript"/>
        </w:rPr>
        <w:t xml:space="preserve">2</w:t>
      </w:r>
      <w:r>
        <w:t xml:space="preserve">/decade.</w:t>
      </w:r>
    </w:p>
    <w:p>
      <w:pPr>
        <w:pStyle w:val="BodyText"/>
      </w:pPr>
      <w:r>
        <w:t xml:space="preserve">Shade tolerant conifers (</w:t>
      </w:r>
      <w:r>
        <w:rPr>
          <w:i/>
          <w:iCs/>
        </w:rPr>
        <w:t xml:space="preserve">Abies amabilis</w:t>
      </w:r>
      <w:r>
        <w:t xml:space="preserve">,</w:t>
      </w:r>
      <w:r>
        <w:t xml:space="preserve"> </w:t>
      </w:r>
      <w:r>
        <w:rPr>
          <w:i/>
          <w:iCs/>
        </w:rPr>
        <w:t xml:space="preserve">Abies grandis</w:t>
      </w:r>
      <w:r>
        <w:t xml:space="preserve">,</w:t>
      </w:r>
      <w:r>
        <w:t xml:space="preserve"> </w:t>
      </w:r>
      <w:r>
        <w:rPr>
          <w:i/>
          <w:iCs/>
        </w:rPr>
        <w:t xml:space="preserve">Pinus lambertiana</w:t>
      </w:r>
      <w:r>
        <w:t xml:space="preserve">,</w:t>
      </w:r>
      <w:r>
        <w:t xml:space="preserve"> </w:t>
      </w:r>
      <w:r>
        <w:rPr>
          <w:i/>
          <w:iCs/>
        </w:rPr>
        <w:t xml:space="preserve">Thuja plicata</w:t>
      </w:r>
      <w:r>
        <w:t xml:space="preserve">, and</w:t>
      </w:r>
      <w:r>
        <w:t xml:space="preserve"> </w:t>
      </w:r>
      <w:r>
        <w:rPr>
          <w:i/>
          <w:iCs/>
        </w:rPr>
        <w:t xml:space="preserve">Tsuga heterophylla</w:t>
      </w:r>
      <w:r>
        <w:t xml:space="preserve">) grew at moderate (109.9 cm</w:t>
      </w:r>
      <w:r>
        <w:rPr>
          <w:vertAlign w:val="superscript"/>
        </w:rPr>
        <w:t xml:space="preserve">2</w:t>
      </w:r>
      <w:r>
        <w:t xml:space="preserve">/decade for</w:t>
      </w:r>
      <w:r>
        <w:t xml:space="preserve"> </w:t>
      </w:r>
      <w:r>
        <w:rPr>
          <w:i/>
          <w:iCs/>
        </w:rPr>
        <w:t xml:space="preserve">Abies amabilis</w:t>
      </w:r>
      <w:r>
        <w:t xml:space="preserve">) to high rates (</w:t>
      </w:r>
      <w:r>
        <w:rPr>
          <w:i/>
          <w:iCs/>
        </w:rPr>
        <w:t xml:space="preserve">Pinus lambertiana</w:t>
      </w:r>
      <w:r>
        <w:t xml:space="preserve"> </w:t>
      </w:r>
      <w:r>
        <w:t xml:space="preserve">had the highest overall growth rate of 253.6 cm</w:t>
      </w:r>
      <w:r>
        <w:rPr>
          <w:vertAlign w:val="superscript"/>
        </w:rPr>
        <w:t xml:space="preserve">2</w:t>
      </w:r>
      <w:r>
        <w:t xml:space="preserve">/decade). The fire-adapted conifers exhibited a range of mean growth rates, with</w:t>
      </w:r>
      <w:r>
        <w:t xml:space="preserve"> </w:t>
      </w:r>
      <w:r>
        <w:rPr>
          <w:i/>
          <w:iCs/>
        </w:rPr>
        <w:t xml:space="preserve">Pseudotsuga menziesii</w:t>
      </w:r>
      <w:r>
        <w:t xml:space="preserve"> </w:t>
      </w:r>
      <w:r>
        <w:t xml:space="preserve">having the greatest mean growth rate (229.9 cm</w:t>
      </w:r>
      <w:r>
        <w:rPr>
          <w:vertAlign w:val="superscript"/>
        </w:rPr>
        <w:t xml:space="preserve">2</w:t>
      </w:r>
      <w:r>
        <w:t xml:space="preserve">/decade),</w:t>
      </w:r>
      <w:r>
        <w:t xml:space="preserve"> </w:t>
      </w:r>
      <w:r>
        <w:rPr>
          <w:i/>
          <w:iCs/>
        </w:rPr>
        <w:t xml:space="preserve">Pinus monticola</w:t>
      </w:r>
      <w:r>
        <w:t xml:space="preserve"> </w:t>
      </w:r>
      <w:r>
        <w:t xml:space="preserve">and</w:t>
      </w:r>
      <w:r>
        <w:t xml:space="preserve"> </w:t>
      </w:r>
      <w:r>
        <w:rPr>
          <w:i/>
          <w:iCs/>
        </w:rPr>
        <w:t xml:space="preserve">Larix occidentalis</w:t>
      </w:r>
      <w:r>
        <w:t xml:space="preserve"> </w:t>
      </w:r>
      <w:r>
        <w:t xml:space="preserve">exhibiting moderate growth (124.8 and 106.4 cm</w:t>
      </w:r>
      <w:r>
        <w:rPr>
          <w:vertAlign w:val="superscript"/>
        </w:rPr>
        <w:t xml:space="preserve">2</w:t>
      </w:r>
      <w:r>
        <w:t xml:space="preserve">/decade, respectively), and</w:t>
      </w:r>
      <w:r>
        <w:t xml:space="preserve"> </w:t>
      </w:r>
      <w:r>
        <w:rPr>
          <w:i/>
          <w:iCs/>
        </w:rPr>
        <w:t xml:space="preserve">Pinus contorta</w:t>
      </w:r>
      <w:r>
        <w:t xml:space="preserve"> </w:t>
      </w:r>
      <w:r>
        <w:t xml:space="preserve">with the lowest mean growth rate (69.3 cm</w:t>
      </w:r>
      <w:r>
        <w:rPr>
          <w:vertAlign w:val="superscript"/>
        </w:rPr>
        <w:t xml:space="preserve">2</w:t>
      </w:r>
      <w:r>
        <w:t xml:space="preserve">/decade). The confidence intervals for</w:t>
      </w:r>
      <w:r>
        <w:t xml:space="preserve"> </w:t>
      </w:r>
      <w:r>
        <w:rPr>
          <w:i/>
          <w:iCs/>
        </w:rPr>
        <w:t xml:space="preserve">Pinus contorta</w:t>
      </w:r>
      <w:r>
        <w:t xml:space="preserve"> </w:t>
      </w:r>
      <w:r>
        <w:t xml:space="preserve">growth rates did not overlap between California and either Oregon or Washington; growth rates were highest in California (83.8 cm</w:t>
      </w:r>
      <w:r>
        <w:rPr>
          <w:vertAlign w:val="superscript"/>
        </w:rPr>
        <w:t xml:space="preserve">2</w:t>
      </w:r>
      <w:r>
        <w:t xml:space="preserve">/decade) and lowest in Washington (57.0 cm</w:t>
      </w:r>
      <w:r>
        <w:rPr>
          <w:vertAlign w:val="superscript"/>
        </w:rPr>
        <w:t xml:space="preserve">2</w:t>
      </w:r>
      <w:r>
        <w:t xml:space="preserve">/decade). Conversely</w:t>
      </w:r>
      <w:r>
        <w:t xml:space="preserve"> </w:t>
      </w:r>
      <w:r>
        <w:rPr>
          <w:i/>
          <w:iCs/>
        </w:rPr>
        <w:t xml:space="preserve">Pinus monticola</w:t>
      </w:r>
      <w:r>
        <w:t xml:space="preserve"> </w:t>
      </w:r>
      <w:r>
        <w:t xml:space="preserve">had a mean growth rate in Washington of 172.4 cm</w:t>
      </w:r>
      <w:r>
        <w:rPr>
          <w:vertAlign w:val="superscript"/>
        </w:rPr>
        <w:t xml:space="preserve">2</w:t>
      </w:r>
      <w:r>
        <w:t xml:space="preserve">/decade and lower growth rates in Oregon and California (approximately 116 cm</w:t>
      </w:r>
      <w:r>
        <w:rPr>
          <w:vertAlign w:val="superscript"/>
        </w:rPr>
        <w:t xml:space="preserve">2</w:t>
      </w:r>
      <w:r>
        <w:t xml:space="preserve">/decade for both). The mean growth rates for three drought-tolerant conifers (</w:t>
      </w:r>
      <w:r>
        <w:rPr>
          <w:i/>
          <w:iCs/>
        </w:rPr>
        <w:t xml:space="preserve">Calocedrus decurrens</w:t>
      </w:r>
      <w:r>
        <w:t xml:space="preserve">,</w:t>
      </w:r>
      <w:r>
        <w:t xml:space="preserve"> </w:t>
      </w:r>
      <w:r>
        <w:rPr>
          <w:i/>
          <w:iCs/>
        </w:rPr>
        <w:t xml:space="preserve">Pinus jeffreyi</w:t>
      </w:r>
      <w:r>
        <w:t xml:space="preserve">, and</w:t>
      </w:r>
      <w:r>
        <w:t xml:space="preserve"> </w:t>
      </w:r>
      <w:r>
        <w:rPr>
          <w:i/>
          <w:iCs/>
        </w:rPr>
        <w:t xml:space="preserve">Pinus ponderosa</w:t>
      </w:r>
      <w:r>
        <w:t xml:space="preserve">) were above 140 cm</w:t>
      </w:r>
      <w:r>
        <w:rPr>
          <w:vertAlign w:val="superscript"/>
        </w:rPr>
        <w:t xml:space="preserve">2</w:t>
      </w:r>
      <w:r>
        <w:t xml:space="preserve">/decade while the growth rate for</w:t>
      </w:r>
      <w:r>
        <w:t xml:space="preserve"> </w:t>
      </w:r>
      <w:r>
        <w:rPr>
          <w:i/>
          <w:iCs/>
        </w:rPr>
        <w:t xml:space="preserve">Juniperus occidentalis</w:t>
      </w:r>
      <w:r>
        <w:t xml:space="preserve"> </w:t>
      </w:r>
      <w:r>
        <w:t xml:space="preserve">was approximately half of that value, at 68.7 cm</w:t>
      </w:r>
      <w:r>
        <w:rPr>
          <w:vertAlign w:val="superscript"/>
        </w:rPr>
        <w:t xml:space="preserve">2</w:t>
      </w:r>
      <w:r>
        <w:t xml:space="preserve">/decade.</w:t>
      </w:r>
    </w:p>
    <w:p>
      <w:pPr>
        <w:pStyle w:val="BodyText"/>
      </w:pPr>
      <w:r>
        <w:t xml:space="preserve">The patterns of CWD domain estimates for growth were not necessarily reflected in mortality estimates (e.g., Figures 2A and 2B). Growth domain contrasts (Figure 4, Table 3) did not appear to result in substantially more significant negative or positive estimates, indicating that species overall did not exhibit higher or lower growth rates in the Increasing, Low, or High domains. The figure column</w:t>
      </w:r>
      <w:r>
        <w:t xml:space="preserve"> </w:t>
      </w:r>
      <w:r>
        <w:t xml:space="preserve">“Increasing vs. Stable”</w:t>
      </w:r>
      <w:r>
        <w:t xml:space="preserve"> </w:t>
      </w:r>
      <w:r>
        <w:t xml:space="preserve">displays the mean point estimate and 95% CI for contrasts between the Increasing and Stable domains (e.g., for</w:t>
      </w:r>
      <w:r>
        <w:t xml:space="preserve"> </w:t>
      </w:r>
      <w:r>
        <w:rPr>
          <w:i/>
          <w:iCs/>
        </w:rPr>
        <w:t xml:space="preserve">Abies lasiocarpa</w:t>
      </w:r>
      <w:r>
        <w:t xml:space="preserve">, subtracting the estimates for columns SL, SM, and SH from IL, IM, IH, respectively; Figure 2A). Negative estimates in the</w:t>
      </w:r>
      <w:r>
        <w:t xml:space="preserve"> </w:t>
      </w:r>
      <w:r>
        <w:t xml:space="preserve">“Increasing vs. Stable”</w:t>
      </w:r>
      <w:r>
        <w:t xml:space="preserve"> </w:t>
      </w:r>
      <w:r>
        <w:t xml:space="preserve">columns in Figures 4 and 5 indicate that the 10-year growth or mortality rate was higher for a species in Stable domains. Table 3 summarizes the number of domain differences in each of the columns in Figures 4 and 5 where the 95% CI does not include zero as well as the number of contrasts per figure column.</w:t>
      </w:r>
    </w:p>
    <w:p>
      <w:pPr>
        <w:pStyle w:val="BodyText"/>
      </w:pPr>
      <w:r>
        <w:t xml:space="preserve">We observed varying growth responses across the CWD domains (Figure 4). Depending on the species, growth may have been susceptible (negatively or positively) to a change in CWD and/or differed by initial CWD values. We consider a lesser initial CWD value to indicate a relatively more favorable condition for plant growth, and</w:t>
      </w:r>
      <w:r>
        <w:t xml:space="preserve"> </w:t>
      </w:r>
      <w:r>
        <w:rPr>
          <w:i/>
          <w:iCs/>
        </w:rPr>
        <w:t xml:space="preserve">Abies amabilis</w:t>
      </w:r>
      <w:r>
        <w:t xml:space="preserve">,</w:t>
      </w:r>
      <w:r>
        <w:t xml:space="preserve"> </w:t>
      </w:r>
      <w:r>
        <w:rPr>
          <w:i/>
          <w:iCs/>
        </w:rPr>
        <w:t xml:space="preserve">Abies grandis</w:t>
      </w:r>
      <w:r>
        <w:t xml:space="preserve">,</w:t>
      </w:r>
      <w:r>
        <w:t xml:space="preserve"> </w:t>
      </w:r>
      <w:r>
        <w:rPr>
          <w:i/>
          <w:iCs/>
        </w:rPr>
        <w:t xml:space="preserve">Calocedrus decurrens</w:t>
      </w:r>
      <w:r>
        <w:t xml:space="preserve">,</w:t>
      </w:r>
      <w:r>
        <w:t xml:space="preserve"> </w:t>
      </w:r>
      <w:r>
        <w:rPr>
          <w:i/>
          <w:iCs/>
        </w:rPr>
        <w:t xml:space="preserve">Pinus ponderosa</w:t>
      </w:r>
      <w:r>
        <w:t xml:space="preserve">,</w:t>
      </w:r>
      <w:r>
        <w:t xml:space="preserve"> </w:t>
      </w:r>
      <w:r>
        <w:rPr>
          <w:i/>
          <w:iCs/>
        </w:rPr>
        <w:t xml:space="preserve">Pseudotsuga menziesii</w:t>
      </w:r>
      <w:r>
        <w:t xml:space="preserve">,</w:t>
      </w:r>
      <w:r>
        <w:t xml:space="preserve"> </w:t>
      </w:r>
      <w:r>
        <w:rPr>
          <w:i/>
          <w:iCs/>
        </w:rPr>
        <w:t xml:space="preserve">Tsuga mertensiana</w:t>
      </w:r>
      <w:r>
        <w:t xml:space="preserve">,</w:t>
      </w:r>
      <w:r>
        <w:t xml:space="preserve"> </w:t>
      </w:r>
      <w:r>
        <w:rPr>
          <w:i/>
          <w:iCs/>
        </w:rPr>
        <w:t xml:space="preserve">Acer macrophyllum</w:t>
      </w:r>
      <w:r>
        <w:t xml:space="preserve">, and</w:t>
      </w:r>
      <w:r>
        <w:t xml:space="preserve"> </w:t>
      </w:r>
      <w:r>
        <w:rPr>
          <w:i/>
          <w:iCs/>
        </w:rPr>
        <w:t xml:space="preserve">Alnus rubra</w:t>
      </w:r>
      <w:r>
        <w:t xml:space="preserve"> </w:t>
      </w:r>
      <w:r>
        <w:t xml:space="preserve">exhibited greater growth in the Low domains than the Medium and/or High domains. This was exemplified by</w:t>
      </w:r>
      <w:r>
        <w:t xml:space="preserve"> </w:t>
      </w:r>
      <w:r>
        <w:rPr>
          <w:i/>
          <w:iCs/>
        </w:rPr>
        <w:t xml:space="preserve">Acer macrophyllum</w:t>
      </w:r>
      <w:r>
        <w:t xml:space="preserve"> </w:t>
      </w:r>
      <w:r>
        <w:t xml:space="preserve">and</w:t>
      </w:r>
      <w:r>
        <w:t xml:space="preserve"> </w:t>
      </w:r>
      <w:r>
        <w:rPr>
          <w:i/>
          <w:iCs/>
        </w:rPr>
        <w:t xml:space="preserve">Abies grandis</w:t>
      </w:r>
      <w:r>
        <w:t xml:space="preserve"> </w:t>
      </w:r>
      <w:r>
        <w:t xml:space="preserve">with a mean difference of -189 cm</w:t>
      </w:r>
      <w:r>
        <w:rPr>
          <w:vertAlign w:val="superscript"/>
        </w:rPr>
        <w:t xml:space="preserve">2</w:t>
      </w:r>
      <w:r>
        <w:t xml:space="preserve">/decade, IH-IL and -124 cm</w:t>
      </w:r>
      <w:r>
        <w:rPr>
          <w:vertAlign w:val="superscript"/>
        </w:rPr>
        <w:t xml:space="preserve">2</w:t>
      </w:r>
      <w:r>
        <w:t xml:space="preserve">/decade, SH-SL, respectively while less for contrasts for species like</w:t>
      </w:r>
      <w:r>
        <w:t xml:space="preserve"> </w:t>
      </w:r>
      <w:r>
        <w:rPr>
          <w:i/>
          <w:iCs/>
        </w:rPr>
        <w:t xml:space="preserve">Tsuga mertensiana</w:t>
      </w:r>
      <w:r>
        <w:t xml:space="preserve"> </w:t>
      </w:r>
      <w:r>
        <w:t xml:space="preserve">(approximately -0.20 for IM-IL and SM-SL) and</w:t>
      </w:r>
      <w:r>
        <w:t xml:space="preserve"> </w:t>
      </w:r>
      <w:r>
        <w:rPr>
          <w:i/>
          <w:iCs/>
        </w:rPr>
        <w:t xml:space="preserve">Quercus chrysolepis</w:t>
      </w:r>
      <w:r>
        <w:t xml:space="preserve"> </w:t>
      </w:r>
      <w:r>
        <w:t xml:space="preserve">(-12 for SH-SM). Except for</w:t>
      </w:r>
      <w:r>
        <w:t xml:space="preserve"> </w:t>
      </w:r>
      <w:r>
        <w:rPr>
          <w:i/>
          <w:iCs/>
        </w:rPr>
        <w:t xml:space="preserve">Alnus rubra</w:t>
      </w:r>
      <w:r>
        <w:t xml:space="preserve">, these results predominantly occurred in both the Stable domain (2 spp.) or the Increasing and Stable domains (5 spp.). However, this finding is not uniform for all species, and we found that</w:t>
      </w:r>
      <w:r>
        <w:t xml:space="preserve"> </w:t>
      </w:r>
      <w:r>
        <w:rPr>
          <w:i/>
          <w:iCs/>
        </w:rPr>
        <w:t xml:space="preserve">Thuja plicata</w:t>
      </w:r>
      <w:r>
        <w:t xml:space="preserve"> </w:t>
      </w:r>
      <w:r>
        <w:t xml:space="preserve">had higher growth rates in the Medium domains than either High or Low domains (Increasing: -127 cm</w:t>
      </w:r>
      <w:r>
        <w:rPr>
          <w:vertAlign w:val="superscript"/>
        </w:rPr>
        <w:t xml:space="preserve">2</w:t>
      </w:r>
      <w:r>
        <w:t xml:space="preserve">/decade for IH-IM and 133 cm</w:t>
      </w:r>
      <w:r>
        <w:rPr>
          <w:vertAlign w:val="superscript"/>
        </w:rPr>
        <w:t xml:space="preserve">2</w:t>
      </w:r>
      <w:r>
        <w:t xml:space="preserve">/decade for IM-IL; Stable: -98 cm</w:t>
      </w:r>
      <w:r>
        <w:rPr>
          <w:vertAlign w:val="superscript"/>
        </w:rPr>
        <w:t xml:space="preserve">2</w:t>
      </w:r>
      <w:r>
        <w:t xml:space="preserve">/decade for SH-SM and 109 cm</w:t>
      </w:r>
      <w:r>
        <w:rPr>
          <w:vertAlign w:val="superscript"/>
        </w:rPr>
        <w:t xml:space="preserve">2</w:t>
      </w:r>
      <w:r>
        <w:t xml:space="preserve">/decade for SM-SL).</w:t>
      </w:r>
      <w:r>
        <w:t xml:space="preserve"> </w:t>
      </w:r>
      <w:r>
        <w:rPr>
          <w:i/>
          <w:iCs/>
        </w:rPr>
        <w:t xml:space="preserve">Abies concolor</w:t>
      </w:r>
      <w:r>
        <w:t xml:space="preserve">,</w:t>
      </w:r>
      <w:r>
        <w:t xml:space="preserve"> </w:t>
      </w:r>
      <w:r>
        <w:rPr>
          <w:i/>
          <w:iCs/>
        </w:rPr>
        <w:t xml:space="preserve">Larix occidentalis</w:t>
      </w:r>
      <w:r>
        <w:t xml:space="preserve">,</w:t>
      </w:r>
      <w:r>
        <w:t xml:space="preserve"> </w:t>
      </w:r>
      <w:r>
        <w:rPr>
          <w:i/>
          <w:iCs/>
        </w:rPr>
        <w:t xml:space="preserve">Picea engelmannii</w:t>
      </w:r>
      <w:r>
        <w:t xml:space="preserve">,</w:t>
      </w:r>
      <w:r>
        <w:t xml:space="preserve"> </w:t>
      </w:r>
      <w:r>
        <w:rPr>
          <w:i/>
          <w:iCs/>
        </w:rPr>
        <w:t xml:space="preserve">Pinus contorta</w:t>
      </w:r>
      <w:r>
        <w:t xml:space="preserve">,</w:t>
      </w:r>
      <w:r>
        <w:t xml:space="preserve"> </w:t>
      </w:r>
      <w:r>
        <w:rPr>
          <w:i/>
          <w:iCs/>
        </w:rPr>
        <w:t xml:space="preserve">Pinus lambertiana</w:t>
      </w:r>
      <w:r>
        <w:t xml:space="preserve">,</w:t>
      </w:r>
      <w:r>
        <w:t xml:space="preserve"> </w:t>
      </w:r>
      <w:r>
        <w:rPr>
          <w:i/>
          <w:iCs/>
        </w:rPr>
        <w:t xml:space="preserve">Arbutus menziesii</w:t>
      </w:r>
      <w:r>
        <w:t xml:space="preserve">, and</w:t>
      </w:r>
      <w:r>
        <w:t xml:space="preserve"> </w:t>
      </w:r>
      <w:r>
        <w:rPr>
          <w:i/>
          <w:iCs/>
        </w:rPr>
        <w:t xml:space="preserve">Quercus kelloggii</w:t>
      </w:r>
      <w:r>
        <w:t xml:space="preserve"> </w:t>
      </w:r>
      <w:r>
        <w:t xml:space="preserve">had higher growth rates in the more water stressed High domains than the Medium and/or Low domains, with some of the greatest differences for</w:t>
      </w:r>
      <w:r>
        <w:t xml:space="preserve"> </w:t>
      </w:r>
      <w:r>
        <w:rPr>
          <w:i/>
          <w:iCs/>
        </w:rPr>
        <w:t xml:space="preserve">Pinus lambertiana</w:t>
      </w:r>
      <w:r>
        <w:t xml:space="preserve"> </w:t>
      </w:r>
      <w:r>
        <w:t xml:space="preserve">(152 cm</w:t>
      </w:r>
      <w:r>
        <w:rPr>
          <w:vertAlign w:val="superscript"/>
        </w:rPr>
        <w:t xml:space="preserve">2</w:t>
      </w:r>
      <w:r>
        <w:t xml:space="preserve">/decade for IH-IL) and</w:t>
      </w:r>
      <w:r>
        <w:t xml:space="preserve"> </w:t>
      </w:r>
      <w:r>
        <w:rPr>
          <w:i/>
          <w:iCs/>
        </w:rPr>
        <w:t xml:space="preserve">Picea engelmannii</w:t>
      </w:r>
      <w:r>
        <w:t xml:space="preserve"> </w:t>
      </w:r>
      <w:r>
        <w:t xml:space="preserve">(85 cm</w:t>
      </w:r>
      <w:r>
        <w:rPr>
          <w:vertAlign w:val="superscript"/>
        </w:rPr>
        <w:t xml:space="preserve">2</w:t>
      </w:r>
      <w:r>
        <w:t xml:space="preserve">/decade for SH-SL). Except for</w:t>
      </w:r>
      <w:r>
        <w:t xml:space="preserve"> </w:t>
      </w:r>
      <w:r>
        <w:rPr>
          <w:i/>
          <w:iCs/>
        </w:rPr>
        <w:t xml:space="preserve">Larix occidentalis</w:t>
      </w:r>
      <w:r>
        <w:t xml:space="preserve">, these results predominantly occurred in both the Increasing domain (3 spp.) or the Increasing and Stable domains (3 spp.). Other species exhibited no significant findings (4 spp.) or displayed other result patterns (3 spp.).</w:t>
      </w:r>
    </w:p>
    <w:bookmarkEnd w:id="34"/>
    <w:bookmarkStart w:id="35" w:name="mortality"/>
    <w:p>
      <w:pPr>
        <w:pStyle w:val="Heading2"/>
      </w:pPr>
      <w:r>
        <w:t xml:space="preserve">3.3 Mortality</w:t>
      </w:r>
    </w:p>
    <w:p>
      <w:pPr>
        <w:pStyle w:val="FirstParagraph"/>
      </w:pPr>
      <w:r>
        <w:t xml:space="preserve">Overall decadal mean mortality rates were highest among high elevation conifers. Three out of the four species had mortality rates of 0.20/decade or higher, including</w:t>
      </w:r>
      <w:r>
        <w:t xml:space="preserve"> </w:t>
      </w:r>
      <w:r>
        <w:rPr>
          <w:i/>
          <w:iCs/>
        </w:rPr>
        <w:t xml:space="preserve">Picea engelmannii</w:t>
      </w:r>
      <w:r>
        <w:t xml:space="preserve"> </w:t>
      </w:r>
      <w:r>
        <w:t xml:space="preserve">with the highest mean mortality rate of 0.28/decade (95% CI = 0.21, 0.36). This species exhibited a mean mortality rate that was almost five times higher in Washington (0.34) than in Oregon (0.07). Drought-tolerant conifers had overall mortality rates that were relatively low (</w:t>
      </w:r>
      <w:r>
        <w:rPr>
          <w:i/>
          <w:iCs/>
        </w:rPr>
        <w:t xml:space="preserve">Calocedrus decurrens</w:t>
      </w:r>
      <w:r>
        <w:t xml:space="preserve"> </w:t>
      </w:r>
      <w:r>
        <w:t xml:space="preserve">had the greatest mortality of the four species at 0.15/decade).</w:t>
      </w:r>
      <w:r>
        <w:t xml:space="preserve"> </w:t>
      </w:r>
      <w:r>
        <w:rPr>
          <w:i/>
          <w:iCs/>
        </w:rPr>
        <w:t xml:space="preserve">Calocedrus decurrens</w:t>
      </w:r>
      <w:r>
        <w:t xml:space="preserve"> </w:t>
      </w:r>
      <w:r>
        <w:t xml:space="preserve">and</w:t>
      </w:r>
      <w:r>
        <w:t xml:space="preserve"> </w:t>
      </w:r>
      <w:r>
        <w:rPr>
          <w:i/>
          <w:iCs/>
        </w:rPr>
        <w:t xml:space="preserve">Pinus ponderosa</w:t>
      </w:r>
      <w:r>
        <w:t xml:space="preserve"> </w:t>
      </w:r>
      <w:r>
        <w:t xml:space="preserve">both exhibited higher mortality and lower growth rates in California than Oregon. The mean mortality rates for drought-tolerant hardwoods ranged from 0.14 to 0.20, with</w:t>
      </w:r>
      <w:r>
        <w:t xml:space="preserve"> </w:t>
      </w:r>
      <w:r>
        <w:rPr>
          <w:i/>
          <w:iCs/>
        </w:rPr>
        <w:t xml:space="preserve">Quercus chrysolepis</w:t>
      </w:r>
      <w:r>
        <w:t xml:space="preserve"> </w:t>
      </w:r>
      <w:r>
        <w:t xml:space="preserve">and</w:t>
      </w:r>
      <w:r>
        <w:t xml:space="preserve"> </w:t>
      </w:r>
      <w:r>
        <w:rPr>
          <w:i/>
          <w:iCs/>
        </w:rPr>
        <w:t xml:space="preserve">Quercus kelloggii</w:t>
      </w:r>
      <w:r>
        <w:t xml:space="preserve"> </w:t>
      </w:r>
      <w:r>
        <w:t xml:space="preserve">having the highest mortality rates (0.20 and 0.18, respectively). Of the fire-adapted conifers,</w:t>
      </w:r>
      <w:r>
        <w:t xml:space="preserve"> </w:t>
      </w:r>
      <w:r>
        <w:rPr>
          <w:i/>
          <w:iCs/>
        </w:rPr>
        <w:t xml:space="preserve">Pinus monticola</w:t>
      </w:r>
      <w:r>
        <w:t xml:space="preserve"> </w:t>
      </w:r>
      <w:r>
        <w:t xml:space="preserve">and</w:t>
      </w:r>
      <w:r>
        <w:t xml:space="preserve"> </w:t>
      </w:r>
      <w:r>
        <w:rPr>
          <w:i/>
          <w:iCs/>
        </w:rPr>
        <w:t xml:space="preserve">Pinus contorta</w:t>
      </w:r>
      <w:r>
        <w:t xml:space="preserve"> </w:t>
      </w:r>
      <w:r>
        <w:t xml:space="preserve">had the greatest mortality rates (0.19 and 0.20, respectively), with</w:t>
      </w:r>
      <w:r>
        <w:t xml:space="preserve"> </w:t>
      </w:r>
      <w:r>
        <w:rPr>
          <w:i/>
          <w:iCs/>
        </w:rPr>
        <w:t xml:space="preserve">Pinus contorta</w:t>
      </w:r>
      <w:r>
        <w:t xml:space="preserve"> </w:t>
      </w:r>
      <w:r>
        <w:t xml:space="preserve">exhibiting a low decadal mortality rate in California (0.07), more than twice that rate in Oregon (0.17), and five times the California rate in Washington (0.37). For the riparian and mesic hardwoods,</w:t>
      </w:r>
      <w:r>
        <w:t xml:space="preserve"> </w:t>
      </w:r>
      <w:r>
        <w:rPr>
          <w:i/>
          <w:iCs/>
        </w:rPr>
        <w:t xml:space="preserve">Alnus rubra</w:t>
      </w:r>
      <w:r>
        <w:t xml:space="preserve"> </w:t>
      </w:r>
      <w:r>
        <w:t xml:space="preserve">had an overall decadal mortality rate of 0.21, compared to 0.13 for</w:t>
      </w:r>
      <w:r>
        <w:t xml:space="preserve"> </w:t>
      </w:r>
      <w:r>
        <w:rPr>
          <w:i/>
          <w:iCs/>
        </w:rPr>
        <w:t xml:space="preserve">Acer macrophyllum</w:t>
      </w:r>
      <w:r>
        <w:t xml:space="preserve">. However,</w:t>
      </w:r>
      <w:r>
        <w:t xml:space="preserve"> </w:t>
      </w:r>
      <w:r>
        <w:rPr>
          <w:i/>
          <w:iCs/>
        </w:rPr>
        <w:t xml:space="preserve">Acer macrophyllum</w:t>
      </w:r>
      <w:r>
        <w:t xml:space="preserve"> </w:t>
      </w:r>
      <w:r>
        <w:t xml:space="preserve">exhibited a mortality rate of 0.27/decade in California, almost three times as high as rates for Washington and Oregon. Decadal mortality rates for shade-tolerant conifers varied greatly, from 0.04 (</w:t>
      </w:r>
      <w:r>
        <w:rPr>
          <w:i/>
          <w:iCs/>
        </w:rPr>
        <w:t xml:space="preserve">Thuja plicata</w:t>
      </w:r>
      <w:r>
        <w:t xml:space="preserve">) to 0.20 (</w:t>
      </w:r>
      <w:r>
        <w:rPr>
          <w:i/>
          <w:iCs/>
        </w:rPr>
        <w:t xml:space="preserve">Pinus lambertiana</w:t>
      </w:r>
      <w:r>
        <w:t xml:space="preserve">). The mortality rate for</w:t>
      </w:r>
      <w:r>
        <w:t xml:space="preserve"> </w:t>
      </w:r>
      <w:r>
        <w:rPr>
          <w:i/>
          <w:iCs/>
        </w:rPr>
        <w:t xml:space="preserve">Abies grandis</w:t>
      </w:r>
      <w:r>
        <w:t xml:space="preserve"> </w:t>
      </w:r>
      <w:r>
        <w:t xml:space="preserve">in Washington was approximately twice as high as the rates for Oregon and California.</w:t>
      </w:r>
    </w:p>
    <w:p>
      <w:pPr>
        <w:pStyle w:val="BodyText"/>
      </w:pPr>
      <w:r>
        <w:t xml:space="preserve">A suite of species had greater mortality in the Low domains than the Medium and/or High domains including</w:t>
      </w:r>
      <w:r>
        <w:t xml:space="preserve"> </w:t>
      </w:r>
      <w:r>
        <w:rPr>
          <w:i/>
          <w:iCs/>
        </w:rPr>
        <w:t xml:space="preserve">Larix occidentalis</w:t>
      </w:r>
      <w:r>
        <w:t xml:space="preserve">,</w:t>
      </w:r>
      <w:r>
        <w:t xml:space="preserve"> </w:t>
      </w:r>
      <w:r>
        <w:rPr>
          <w:i/>
          <w:iCs/>
        </w:rPr>
        <w:t xml:space="preserve">Picea engelmannii</w:t>
      </w:r>
      <w:r>
        <w:t xml:space="preserve">,</w:t>
      </w:r>
      <w:r>
        <w:t xml:space="preserve"> </w:t>
      </w:r>
      <w:r>
        <w:rPr>
          <w:i/>
          <w:iCs/>
        </w:rPr>
        <w:t xml:space="preserve">Pinus contorta</w:t>
      </w:r>
      <w:r>
        <w:t xml:space="preserve">,</w:t>
      </w:r>
      <w:r>
        <w:t xml:space="preserve"> </w:t>
      </w:r>
      <w:r>
        <w:rPr>
          <w:i/>
          <w:iCs/>
        </w:rPr>
        <w:t xml:space="preserve">Pinus monticola</w:t>
      </w:r>
      <w:r>
        <w:t xml:space="preserve">, and</w:t>
      </w:r>
      <w:r>
        <w:t xml:space="preserve"> </w:t>
      </w:r>
      <w:r>
        <w:rPr>
          <w:i/>
          <w:iCs/>
        </w:rPr>
        <w:t xml:space="preserve">Thuja plicata</w:t>
      </w:r>
      <w:r>
        <w:t xml:space="preserve">. Some of the most negative mean mortality contrasts (Figure 5) included</w:t>
      </w:r>
      <w:r>
        <w:t xml:space="preserve"> </w:t>
      </w:r>
      <w:r>
        <w:rPr>
          <w:i/>
          <w:iCs/>
        </w:rPr>
        <w:t xml:space="preserve">Picea engelmannii</w:t>
      </w:r>
      <w:r>
        <w:t xml:space="preserve"> </w:t>
      </w:r>
      <w:r>
        <w:t xml:space="preserve">and</w:t>
      </w:r>
      <w:r>
        <w:t xml:space="preserve"> </w:t>
      </w:r>
      <w:r>
        <w:rPr>
          <w:i/>
          <w:iCs/>
        </w:rPr>
        <w:t xml:space="preserve">Pinus contorta</w:t>
      </w:r>
      <w:r>
        <w:t xml:space="preserve"> </w:t>
      </w:r>
      <w:r>
        <w:t xml:space="preserve">(-0.34 and -0.26/decade, respectively, for IH-IL) while the magnitude of the contrast for</w:t>
      </w:r>
      <w:r>
        <w:t xml:space="preserve"> </w:t>
      </w:r>
      <w:r>
        <w:rPr>
          <w:i/>
          <w:iCs/>
        </w:rPr>
        <w:t xml:space="preserve">Thuja plicata</w:t>
      </w:r>
      <w:r>
        <w:t xml:space="preserve"> </w:t>
      </w:r>
      <w:r>
        <w:t xml:space="preserve">was smaller (-0.05/decade for IH-IL). These results occurred in Increasing (3 spp.) or both Increasing and Stable (2 spp.) domains. Mortality rates for</w:t>
      </w:r>
      <w:r>
        <w:t xml:space="preserve"> </w:t>
      </w:r>
      <w:r>
        <w:rPr>
          <w:i/>
          <w:iCs/>
        </w:rPr>
        <w:t xml:space="preserve">Abies lasiocarpa</w:t>
      </w:r>
      <w:r>
        <w:t xml:space="preserve">,</w:t>
      </w:r>
      <w:r>
        <w:t xml:space="preserve"> </w:t>
      </w:r>
      <w:r>
        <w:rPr>
          <w:i/>
          <w:iCs/>
        </w:rPr>
        <w:t xml:space="preserve">Calocedrus decurrens</w:t>
      </w:r>
      <w:r>
        <w:t xml:space="preserve">,</w:t>
      </w:r>
      <w:r>
        <w:t xml:space="preserve"> </w:t>
      </w:r>
      <w:r>
        <w:rPr>
          <w:i/>
          <w:iCs/>
        </w:rPr>
        <w:t xml:space="preserve">Pinus lambertiana</w:t>
      </w:r>
      <w:r>
        <w:t xml:space="preserve">,</w:t>
      </w:r>
      <w:r>
        <w:t xml:space="preserve"> </w:t>
      </w:r>
      <w:r>
        <w:rPr>
          <w:i/>
          <w:iCs/>
        </w:rPr>
        <w:t xml:space="preserve">Pinus ponderosa</w:t>
      </w:r>
      <w:r>
        <w:t xml:space="preserve">,</w:t>
      </w:r>
      <w:r>
        <w:t xml:space="preserve"> </w:t>
      </w:r>
      <w:r>
        <w:rPr>
          <w:i/>
          <w:iCs/>
        </w:rPr>
        <w:t xml:space="preserve">Pseudotsuga menziesii</w:t>
      </w:r>
      <w:r>
        <w:t xml:space="preserve">,</w:t>
      </w:r>
      <w:r>
        <w:t xml:space="preserve"> </w:t>
      </w:r>
      <w:r>
        <w:rPr>
          <w:i/>
          <w:iCs/>
        </w:rPr>
        <w:t xml:space="preserve">Tsuga heterophylla</w:t>
      </w:r>
      <w:r>
        <w:t xml:space="preserve">,</w:t>
      </w:r>
      <w:r>
        <w:t xml:space="preserve"> </w:t>
      </w:r>
      <w:r>
        <w:rPr>
          <w:i/>
          <w:iCs/>
        </w:rPr>
        <w:t xml:space="preserve">Tsuga mertensiana</w:t>
      </w:r>
      <w:r>
        <w:t xml:space="preserve">,</w:t>
      </w:r>
      <w:r>
        <w:t xml:space="preserve"> </w:t>
      </w:r>
      <w:r>
        <w:rPr>
          <w:i/>
          <w:iCs/>
        </w:rPr>
        <w:t xml:space="preserve">Acer macrophyllum</w:t>
      </w:r>
      <w:r>
        <w:t xml:space="preserve">, and</w:t>
      </w:r>
      <w:r>
        <w:t xml:space="preserve"> </w:t>
      </w:r>
      <w:r>
        <w:rPr>
          <w:i/>
          <w:iCs/>
        </w:rPr>
        <w:t xml:space="preserve">Notholithocarpus densiflorus</w:t>
      </w:r>
      <w:r>
        <w:t xml:space="preserve"> </w:t>
      </w:r>
      <w:r>
        <w:t xml:space="preserve">were higher in the High domains than the Medium and/or Low domains. The highest positive estimates include 0.25/decade for the</w:t>
      </w:r>
      <w:r>
        <w:t xml:space="preserve"> </w:t>
      </w:r>
      <w:r>
        <w:rPr>
          <w:i/>
          <w:iCs/>
        </w:rPr>
        <w:t xml:space="preserve">Abies lasiocarpa</w:t>
      </w:r>
      <w:r>
        <w:t xml:space="preserve"> </w:t>
      </w:r>
      <w:r>
        <w:t xml:space="preserve">SH-SL contrast, and 0.27/decade for the</w:t>
      </w:r>
      <w:r>
        <w:t xml:space="preserve"> </w:t>
      </w:r>
      <w:r>
        <w:rPr>
          <w:i/>
          <w:iCs/>
        </w:rPr>
        <w:t xml:space="preserve">Pinus lambertiana</w:t>
      </w:r>
      <w:r>
        <w:t xml:space="preserve"> </w:t>
      </w:r>
      <w:r>
        <w:t xml:space="preserve">IH-IM contrast.</w:t>
      </w:r>
      <w:r>
        <w:t xml:space="preserve"> </w:t>
      </w:r>
      <w:r>
        <w:rPr>
          <w:i/>
          <w:iCs/>
        </w:rPr>
        <w:t xml:space="preserve">Pseudotsuga menziesii</w:t>
      </w:r>
      <w:r>
        <w:t xml:space="preserve"> </w:t>
      </w:r>
      <w:r>
        <w:t xml:space="preserve">exhibited smaller contrast estimates of around 0.04/decade for SH-SL and SH-SM. These species were approximately evenly split between differences being present in the Increasing (4 spp.) or Stable (5 spp.) domains, but none with significant findings in both the Increasing and Stable domains.</w:t>
      </w:r>
      <w:r>
        <w:t xml:space="preserve"> </w:t>
      </w:r>
      <w:r>
        <w:rPr>
          <w:i/>
          <w:iCs/>
        </w:rPr>
        <w:t xml:space="preserve">Arbutus menziesii</w:t>
      </w:r>
      <w:r>
        <w:t xml:space="preserve"> </w:t>
      </w:r>
      <w:r>
        <w:t xml:space="preserve">had greater mortality in Medium domains than the High domains (approximately -0.11/decade for IH-IM and SH-SM). Five species had no significant mortality contrasts.</w:t>
      </w:r>
    </w:p>
    <w:p>
      <w:pPr>
        <w:pStyle w:val="BodyText"/>
      </w:pPr>
      <w:r>
        <w:t xml:space="preserve">Like growth domain contrasts, the three types of mortality contrasts did not appear to be predominantly positive or negative (Figure 5, Table 3). There were fewer mortality estimates with significant findings than growth (46 vs 74). There were fewer differences for</w:t>
      </w:r>
      <w:r>
        <w:t xml:space="preserve"> </w:t>
      </w:r>
      <w:r>
        <w:t xml:space="preserve">“Increasing vs. Stable”</w:t>
      </w:r>
      <w:r>
        <w:t xml:space="preserve"> </w:t>
      </w:r>
      <w:r>
        <w:t xml:space="preserve">contrasts (9) than for Increasing (21) or Stable (16), indicating that mortality may not have been as strongly associated with delta CWD as it was with initial CWD values.</w:t>
      </w:r>
    </w:p>
    <w:bookmarkEnd w:id="35"/>
    <w:bookmarkStart w:id="36" w:name="geography"/>
    <w:p>
      <w:pPr>
        <w:pStyle w:val="Heading2"/>
      </w:pPr>
      <w:r>
        <w:t xml:space="preserve">3.4 Geography</w:t>
      </w:r>
    </w:p>
    <w:p>
      <w:pPr>
        <w:pStyle w:val="FirstParagraph"/>
      </w:pPr>
      <w:r>
        <w:t xml:space="preserve">The interactive dashboard revealed geographic patterns that were associated with specific domains while not necessarily captured by state-level estimates. For the Increasing and Stable Low domains</w:t>
      </w:r>
      <w:r>
        <w:t xml:space="preserve"> </w:t>
      </w:r>
      <w:r>
        <w:rPr>
          <w:i/>
          <w:iCs/>
        </w:rPr>
        <w:t xml:space="preserve">Abies lasiocarpa</w:t>
      </w:r>
      <w:r>
        <w:t xml:space="preserve"> </w:t>
      </w:r>
      <w:r>
        <w:t xml:space="preserve">had less mortality in northeastern Washington and</w:t>
      </w:r>
      <w:r>
        <w:t xml:space="preserve"> </w:t>
      </w:r>
      <w:r>
        <w:rPr>
          <w:i/>
          <w:iCs/>
        </w:rPr>
        <w:t xml:space="preserve">Tsuga mertensiana</w:t>
      </w:r>
      <w:r>
        <w:t xml:space="preserve"> </w:t>
      </w:r>
      <w:r>
        <w:t xml:space="preserve">exhibited greater growth in the same region.</w:t>
      </w:r>
      <w:r>
        <w:t xml:space="preserve"> </w:t>
      </w:r>
      <w:r>
        <w:rPr>
          <w:i/>
          <w:iCs/>
        </w:rPr>
        <w:t xml:space="preserve">Pinus contorta</w:t>
      </w:r>
      <w:r>
        <w:t xml:space="preserve"> </w:t>
      </w:r>
      <w:r>
        <w:t xml:space="preserve">exhibited less growth and greater mortality in northern Washington (Increasing Low). In the southern Sierra Nevada</w:t>
      </w:r>
      <w:r>
        <w:t xml:space="preserve"> </w:t>
      </w:r>
      <w:r>
        <w:rPr>
          <w:i/>
          <w:iCs/>
        </w:rPr>
        <w:t xml:space="preserve">Pinus lambertiana</w:t>
      </w:r>
      <w:r>
        <w:t xml:space="preserve"> </w:t>
      </w:r>
      <w:r>
        <w:t xml:space="preserve">had greater growth (Increasing Medium and High) and greater mortality (Increasing High),</w:t>
      </w:r>
      <w:r>
        <w:t xml:space="preserve"> </w:t>
      </w:r>
      <w:r>
        <w:rPr>
          <w:i/>
          <w:iCs/>
        </w:rPr>
        <w:t xml:space="preserve">Calocedrus decurrens</w:t>
      </w:r>
      <w:r>
        <w:t xml:space="preserve"> </w:t>
      </w:r>
      <w:r>
        <w:t xml:space="preserve">had greater mortality (Increasing High), and</w:t>
      </w:r>
      <w:r>
        <w:t xml:space="preserve"> </w:t>
      </w:r>
      <w:r>
        <w:rPr>
          <w:i/>
          <w:iCs/>
        </w:rPr>
        <w:t xml:space="preserve">Pinus monticola</w:t>
      </w:r>
      <w:r>
        <w:t xml:space="preserve"> </w:t>
      </w:r>
      <w:r>
        <w:t xml:space="preserve">had less mortality (Increasing High).</w:t>
      </w:r>
      <w:r>
        <w:t xml:space="preserve"> </w:t>
      </w:r>
      <w:r>
        <w:rPr>
          <w:i/>
          <w:iCs/>
        </w:rPr>
        <w:t xml:space="preserve">Acer macrophyllum</w:t>
      </w:r>
      <w:r>
        <w:t xml:space="preserve"> </w:t>
      </w:r>
      <w:r>
        <w:t xml:space="preserve">exhibited less growth in the Sierra Nevada and southern Klamath Mountains (Increasing High) and greater growth in northwestern Washington in the Coast and Cascade ranges (Increasing and Stable Low).</w:t>
      </w:r>
    </w:p>
    <w:bookmarkEnd w:id="36"/>
    <w:bookmarkEnd w:id="37"/>
    <w:bookmarkStart w:id="38" w:name="discussion"/>
    <w:p>
      <w:pPr>
        <w:pStyle w:val="Heading1"/>
      </w:pPr>
      <w:r>
        <w:t xml:space="preserve">4. Discussion</w:t>
      </w:r>
    </w:p>
    <w:p>
      <w:pPr>
        <w:pStyle w:val="FirstParagraph"/>
      </w:pPr>
      <w:r>
        <w:t xml:space="preserve">Analysis of 23 tree species revealed diverse species-specific associations with climatic water deficit, with different species exhibiting contrasting relationships among growth, mortality, and water stress. Responses were potentially driven by differences in drought tolerance strategies, local disturbance regimes, and biotic interactions. We found more significant CWD contrasts for species growth than mortality, possibly indicating that growth differences by CWD domain were more readily detectable than mortality over a decade, although growth and mortality findings were not necessarily negatively related. Delta CWD was greater than zero across almost all plots although the magnitude of change was generally not large relative to initial CWD values. We additionally found high decadal mortality rates for some species within and across states.</w:t>
      </w:r>
    </w:p>
    <w:p>
      <w:pPr>
        <w:pStyle w:val="BodyText"/>
      </w:pPr>
      <w:r>
        <w:t xml:space="preserve">Regional analyses detected several species with relatively high mortality rates including</w:t>
      </w:r>
      <w:r>
        <w:t xml:space="preserve"> </w:t>
      </w:r>
      <w:r>
        <w:rPr>
          <w:i/>
          <w:iCs/>
        </w:rPr>
        <w:t xml:space="preserve">Acer macrophyllum</w:t>
      </w:r>
      <w:r>
        <w:t xml:space="preserve">,</w:t>
      </w:r>
      <w:r>
        <w:t xml:space="preserve"> </w:t>
      </w:r>
      <w:r>
        <w:rPr>
          <w:i/>
          <w:iCs/>
        </w:rPr>
        <w:t xml:space="preserve">Picea engelmannii</w:t>
      </w:r>
      <w:r>
        <w:t xml:space="preserve">,</w:t>
      </w:r>
      <w:r>
        <w:t xml:space="preserve"> </w:t>
      </w:r>
      <w:r>
        <w:rPr>
          <w:i/>
          <w:iCs/>
        </w:rPr>
        <w:t xml:space="preserve">Abies lasiocarpa</w:t>
      </w:r>
      <w:r>
        <w:t xml:space="preserve">,</w:t>
      </w:r>
      <w:r>
        <w:t xml:space="preserve"> </w:t>
      </w:r>
      <w:r>
        <w:rPr>
          <w:i/>
          <w:iCs/>
        </w:rPr>
        <w:t xml:space="preserve">Pinus contorta</w:t>
      </w:r>
      <w:r>
        <w:t xml:space="preserve">, and</w:t>
      </w:r>
      <w:r>
        <w:t xml:space="preserve"> </w:t>
      </w:r>
      <w:r>
        <w:rPr>
          <w:i/>
          <w:iCs/>
        </w:rPr>
        <w:t xml:space="preserve">Alnus rubra</w:t>
      </w:r>
      <w:r>
        <w:t xml:space="preserve">. Our results for</w:t>
      </w:r>
      <w:r>
        <w:t xml:space="preserve"> </w:t>
      </w:r>
      <w:r>
        <w:rPr>
          <w:i/>
          <w:iCs/>
        </w:rPr>
        <w:t xml:space="preserve">Alnus rubra</w:t>
      </w:r>
      <w:r>
        <w:t xml:space="preserve">, a species with a short lifespan, aligns with reported background mortality rates (e.g., Brown and Courtin 2018).</w:t>
      </w:r>
    </w:p>
    <w:p>
      <w:pPr>
        <w:pStyle w:val="BodyText"/>
      </w:pPr>
      <w:r>
        <w:t xml:space="preserve">The high mortality rate for</w:t>
      </w:r>
      <w:r>
        <w:t xml:space="preserve"> </w:t>
      </w:r>
      <w:r>
        <w:rPr>
          <w:i/>
          <w:iCs/>
        </w:rPr>
        <w:t xml:space="preserve">Acer macrophyllum</w:t>
      </w:r>
      <w:r>
        <w:t xml:space="preserve"> </w:t>
      </w:r>
      <w:r>
        <w:t xml:space="preserve">in California appears to be both unreported elsewhere and substantially greater than in Oregon or Washington.</w:t>
      </w:r>
      <w:r>
        <w:t xml:space="preserve"> </w:t>
      </w:r>
      <w:r>
        <w:rPr>
          <w:i/>
          <w:iCs/>
        </w:rPr>
        <w:t xml:space="preserve">Acer macrophyllum</w:t>
      </w:r>
      <w:r>
        <w:t xml:space="preserve"> </w:t>
      </w:r>
      <w:r>
        <w:t xml:space="preserve">growth was negatively associated with larger initial CWD values (i.e., the least growth occurred in the High domains), and its growth was lower and mortality almost three times higher in California than in Washington and Oregon. We cannot find primary literature that corroborates an increase in mortality for this species in California. McNellis et al. (2021) estimated a recent</w:t>
      </w:r>
      <w:r>
        <w:t xml:space="preserve"> </w:t>
      </w:r>
      <w:r>
        <w:rPr>
          <w:i/>
          <w:iCs/>
        </w:rPr>
        <w:t xml:space="preserve">Acer macrophyllum</w:t>
      </w:r>
      <w:r>
        <w:t xml:space="preserve"> </w:t>
      </w:r>
      <w:r>
        <w:t xml:space="preserve">mortality rate across Oregon, California, and Washington of 0.45%/yr (4.5%/decade, excluding fire mortality) while our estimates for Washington and Oregon were twice this level, and California’s estimate was six times as large (20% of this study’s</w:t>
      </w:r>
      <w:r>
        <w:t xml:space="preserve"> </w:t>
      </w:r>
      <w:r>
        <w:rPr>
          <w:i/>
          <w:iCs/>
        </w:rPr>
        <w:t xml:space="preserve">Acer macrophyllum</w:t>
      </w:r>
      <w:r>
        <w:t xml:space="preserve"> </w:t>
      </w:r>
      <w:r>
        <w:t xml:space="preserve">mortality was attributed to fire, unpublished data). However, Betzen et al. (2021) found widespread evidence in Washington of</w:t>
      </w:r>
      <w:r>
        <w:t xml:space="preserve"> </w:t>
      </w:r>
      <w:r>
        <w:rPr>
          <w:i/>
          <w:iCs/>
        </w:rPr>
        <w:t xml:space="preserve">Acer macrophyllum</w:t>
      </w:r>
      <w:r>
        <w:t xml:space="preserve"> </w:t>
      </w:r>
      <w:r>
        <w:t xml:space="preserve">decline (crown dieback, thinning, discoloration, reduced leaf size) and reduced growth and increased mortality in locations with higher temperatures and water limitations. Although these results align with our contrast findings for growth, they are not reflective (yet) of our state mortality findings for Washington. Given our novel findings of mortality for this species, a more intensive assessment of</w:t>
      </w:r>
      <w:r>
        <w:t xml:space="preserve"> </w:t>
      </w:r>
      <w:r>
        <w:rPr>
          <w:i/>
          <w:iCs/>
        </w:rPr>
        <w:t xml:space="preserve">Acer macrophyllum</w:t>
      </w:r>
      <w:r>
        <w:t xml:space="preserve">’s status in California may be warranted.</w:t>
      </w:r>
    </w:p>
    <w:p>
      <w:pPr>
        <w:pStyle w:val="BodyText"/>
      </w:pPr>
      <w:r>
        <w:t xml:space="preserve">The high-elevation conspecifics</w:t>
      </w:r>
      <w:r>
        <w:t xml:space="preserve"> </w:t>
      </w:r>
      <w:r>
        <w:rPr>
          <w:i/>
          <w:iCs/>
        </w:rPr>
        <w:t xml:space="preserve">Abies lasiocarpa</w:t>
      </w:r>
      <w:r>
        <w:t xml:space="preserve"> </w:t>
      </w:r>
      <w:r>
        <w:t xml:space="preserve">and</w:t>
      </w:r>
      <w:r>
        <w:t xml:space="preserve"> </w:t>
      </w:r>
      <w:r>
        <w:rPr>
          <w:i/>
          <w:iCs/>
        </w:rPr>
        <w:t xml:space="preserve">Picea engelmannii</w:t>
      </w:r>
      <w:r>
        <w:t xml:space="preserve"> </w:t>
      </w:r>
      <w:r>
        <w:t xml:space="preserve">are frequently codominant and exhibit high mortality rates. Andrus et al. (2018) found that</w:t>
      </w:r>
      <w:r>
        <w:t xml:space="preserve"> </w:t>
      </w:r>
      <w:r>
        <w:rPr>
          <w:i/>
          <w:iCs/>
        </w:rPr>
        <w:t xml:space="preserve">Picea engelmannii</w:t>
      </w:r>
      <w:r>
        <w:t xml:space="preserve"> </w:t>
      </w:r>
      <w:r>
        <w:t xml:space="preserve">exhibited higher survival and longevity compared to</w:t>
      </w:r>
      <w:r>
        <w:t xml:space="preserve"> </w:t>
      </w:r>
      <w:r>
        <w:rPr>
          <w:i/>
          <w:iCs/>
        </w:rPr>
        <w:t xml:space="preserve">Abies lasiocarpa</w:t>
      </w:r>
      <w:r>
        <w:t xml:space="preserve"> </w:t>
      </w:r>
      <w:r>
        <w:t xml:space="preserve">in undisturbed plots in Colorado, with firs exhibiting mortality rates of up to 1% annually while</w:t>
      </w:r>
      <w:r>
        <w:t xml:space="preserve"> </w:t>
      </w:r>
      <w:r>
        <w:rPr>
          <w:i/>
          <w:iCs/>
        </w:rPr>
        <w:t xml:space="preserve">Picea engelmannii</w:t>
      </w:r>
      <w:r>
        <w:t xml:space="preserve"> </w:t>
      </w:r>
      <w:r>
        <w:t xml:space="preserve">had mortality rates below 0.5% annually. Mortality estimates for</w:t>
      </w:r>
      <w:r>
        <w:t xml:space="preserve"> </w:t>
      </w:r>
      <w:r>
        <w:rPr>
          <w:i/>
          <w:iCs/>
        </w:rPr>
        <w:t xml:space="preserve">Abies lasiocarpa</w:t>
      </w:r>
      <w:r>
        <w:t xml:space="preserve"> </w:t>
      </w:r>
      <w:r>
        <w:t xml:space="preserve">from Perret et al. (2023) were similar to our state and overall estimates at 25% +/-2.7 per decade; they found the highest level of mortality in the eastern Oregon Cascades as well as in Idaho and Colorado. They attributed 83% of the mortality to fire or biogenic disturbance and found harvested effects to be minor. We found that the pressures on the two species appear to differ by CWD values and location. We found that</w:t>
      </w:r>
      <w:r>
        <w:t xml:space="preserve"> </w:t>
      </w:r>
      <w:r>
        <w:rPr>
          <w:i/>
          <w:iCs/>
        </w:rPr>
        <w:t xml:space="preserve">Picea engelmannii</w:t>
      </w:r>
      <w:r>
        <w:t xml:space="preserve"> </w:t>
      </w:r>
      <w:r>
        <w:t xml:space="preserve">had lower mortality in the Increasing High domain, corresponding to plots in the Blue Mountains of Oregon and Washington, and higher mortality in the Increasing Low and Increasing High domains, largely coinciding with northern and northeastern Washington, where spruce beetle infestations were elevated (Washington Department of Natural Resources [WADNR] 2024). Its mortality rate in Washington was almost five times higher than in Oregon.</w:t>
      </w:r>
      <w:r>
        <w:t xml:space="preserve"> </w:t>
      </w:r>
      <w:r>
        <w:rPr>
          <w:i/>
          <w:iCs/>
        </w:rPr>
        <w:t xml:space="preserve">Abies lasiocarpa</w:t>
      </w:r>
      <w:r>
        <w:t xml:space="preserve"> </w:t>
      </w:r>
      <w:r>
        <w:t xml:space="preserve">did have lower mortality in the Stable Low domain than the other Stable domains, corresponding with more mesic portions of Washington west of the Cascade Range crest.</w:t>
      </w:r>
    </w:p>
    <w:p>
      <w:pPr>
        <w:pStyle w:val="BodyText"/>
      </w:pPr>
      <w:r>
        <w:t xml:space="preserve">The lower growth and higher mortality findings for</w:t>
      </w:r>
      <w:r>
        <w:t xml:space="preserve"> </w:t>
      </w:r>
      <w:r>
        <w:rPr>
          <w:i/>
          <w:iCs/>
        </w:rPr>
        <w:t xml:space="preserve">Pinus contorta</w:t>
      </w:r>
      <w:r>
        <w:t xml:space="preserve"> </w:t>
      </w:r>
      <w:r>
        <w:t xml:space="preserve">in Washington likely reflected insect pressures on the species. The domains with the highest mortality and lowest growth align well with Washington regions that have experienced water stress (Raymond et al. 2023). Pine bark beetles (</w:t>
      </w:r>
      <w:r>
        <w:rPr>
          <w:i/>
          <w:iCs/>
        </w:rPr>
        <w:t xml:space="preserve">Dendroctonus ponderosae</w:t>
      </w:r>
      <w:r>
        <w:t xml:space="preserve">,</w:t>
      </w:r>
      <w:r>
        <w:t xml:space="preserve"> </w:t>
      </w:r>
      <w:r>
        <w:rPr>
          <w:i/>
          <w:iCs/>
        </w:rPr>
        <w:t xml:space="preserve">Dendroctonus brevicomis</w:t>
      </w:r>
      <w:r>
        <w:t xml:space="preserve">, and</w:t>
      </w:r>
      <w:r>
        <w:t xml:space="preserve"> </w:t>
      </w:r>
      <w:r>
        <w:rPr>
          <w:i/>
          <w:iCs/>
        </w:rPr>
        <w:t xml:space="preserve">Ips</w:t>
      </w:r>
      <w:r>
        <w:t xml:space="preserve"> </w:t>
      </w:r>
      <w:r>
        <w:t xml:space="preserve">spp.) have affected</w:t>
      </w:r>
      <w:r>
        <w:t xml:space="preserve"> </w:t>
      </w:r>
      <w:r>
        <w:rPr>
          <w:i/>
          <w:iCs/>
        </w:rPr>
        <w:t xml:space="preserve">Pinus contorta</w:t>
      </w:r>
      <w:r>
        <w:t xml:space="preserve"> </w:t>
      </w:r>
      <w:r>
        <w:t xml:space="preserve">for the past decade in this region (WADNR 2024). This area also corresponds, at the level of ecoregion subsections, with the portions of</w:t>
      </w:r>
      <w:r>
        <w:t xml:space="preserve"> </w:t>
      </w:r>
      <w:r>
        <w:rPr>
          <w:i/>
          <w:iCs/>
        </w:rPr>
        <w:t xml:space="preserve">Pinus contorta</w:t>
      </w:r>
      <w:r>
        <w:t xml:space="preserve">’s range in the lowest forest stability index category of Stanke et al. (2021) while California’s Sierra Nevada and the Oregon and Washington Cascade Range correspond to positive stability index values. Stanke et al. (2021) also found, from FIA plot data, that insects (followed by fire) were a dominant driver of the percent change in relative tree density for</w:t>
      </w:r>
      <w:r>
        <w:t xml:space="preserve"> </w:t>
      </w:r>
      <w:r>
        <w:rPr>
          <w:i/>
          <w:iCs/>
        </w:rPr>
        <w:t xml:space="preserve">Pinus contorta</w:t>
      </w:r>
      <w:r>
        <w:t xml:space="preserve">.</w:t>
      </w:r>
    </w:p>
    <w:p>
      <w:pPr>
        <w:pStyle w:val="BodyText"/>
      </w:pPr>
      <w:r>
        <w:rPr>
          <w:i/>
          <w:iCs/>
        </w:rPr>
        <w:t xml:space="preserve">Abies grandis</w:t>
      </w:r>
      <w:r>
        <w:t xml:space="preserve"> </w:t>
      </w:r>
      <w:r>
        <w:t xml:space="preserve">exhibited higher mean mortality rates in Washington than Oregon or California. We found no evidence of a difference in domain mortality geographically, although the greatest growth domain was Stable Low, which corresponded to the more mesic plots west of the Cascade Crest of Washington and Oregon. The mortality result may be due to the intersection of a fire suppression history that promoted a densification of shade-tolerant but drought-intolerant firs in the arid climates of eastern Oregon and Washington, drought, and fir engraver beetle mortality pressure (</w:t>
      </w:r>
      <w:r>
        <w:rPr>
          <w:i/>
          <w:iCs/>
        </w:rPr>
        <w:t xml:space="preserve">Scolytus ventralis</w:t>
      </w:r>
      <w:r>
        <w:t xml:space="preserve">; Washington DNR 2023, Merschel et al. 2021). Johnston et al. (2025) report mortality rates of</w:t>
      </w:r>
      <w:r>
        <w:t xml:space="preserve"> </w:t>
      </w:r>
      <w:r>
        <w:rPr>
          <w:i/>
          <w:iCs/>
        </w:rPr>
        <w:t xml:space="preserve">Abies grandis</w:t>
      </w:r>
      <w:r>
        <w:t xml:space="preserve"> </w:t>
      </w:r>
      <w:r>
        <w:t xml:space="preserve">in protected areas in the Malheur National Forest of Oregon that exceed those in Table 2, primarily attributing the cause to fire.</w:t>
      </w:r>
    </w:p>
    <w:p>
      <w:pPr>
        <w:pStyle w:val="BodyText"/>
      </w:pPr>
      <w:r>
        <w:t xml:space="preserve">The absence of consistent contrast patterns across species is itself informative, indicating that tree responses to water stress conditions are potentially mediated by local adaptation to conditions, species-specific physiological traits, and local environmental conditions rather than following a general response mechanism. The number of significant Increasing vs. Stable contrasts for growth and mortality were approximately evenly distributed between positive and negative contrasts, with a positive difference indicating that some species exhibited higher growth or greater mortality in an Increasing domain (e.g.,</w:t>
      </w:r>
      <w:r>
        <w:t xml:space="preserve"> </w:t>
      </w:r>
      <w:r>
        <w:rPr>
          <w:i/>
          <w:iCs/>
        </w:rPr>
        <w:t xml:space="preserve">Pinus lambertiana</w:t>
      </w:r>
      <w:r>
        <w:t xml:space="preserve"> </w:t>
      </w:r>
      <w:r>
        <w:t xml:space="preserve">for both growth and mortality) versus a Stable domain (</w:t>
      </w:r>
      <w:r>
        <w:rPr>
          <w:i/>
          <w:iCs/>
        </w:rPr>
        <w:t xml:space="preserve">Abies grandis</w:t>
      </w:r>
      <w:r>
        <w:t xml:space="preserve"> </w:t>
      </w:r>
      <w:r>
        <w:t xml:space="preserve">and</w:t>
      </w:r>
      <w:r>
        <w:t xml:space="preserve"> </w:t>
      </w:r>
      <w:r>
        <w:rPr>
          <w:i/>
          <w:iCs/>
        </w:rPr>
        <w:t xml:space="preserve">Pinus contorta</w:t>
      </w:r>
      <w:r>
        <w:t xml:space="preserve">, respectively, for growth and mortality). This lack of a consistent pattern across species may indicate that the distinction of Increasing vs. Stable is not generalizable across species, or that significant findings are due to confounding factors such as geographical locations with different ecological pressures.</w:t>
      </w:r>
    </w:p>
    <w:p>
      <w:pPr>
        <w:pStyle w:val="BodyText"/>
      </w:pPr>
      <w:r>
        <w:t xml:space="preserve">Our dashboard reveals some instances of domains that represent geographical differences in mortality. State estimates for</w:t>
      </w:r>
      <w:r>
        <w:t xml:space="preserve"> </w:t>
      </w:r>
      <w:r>
        <w:rPr>
          <w:i/>
          <w:iCs/>
        </w:rPr>
        <w:t xml:space="preserve">Pinus monticola</w:t>
      </w:r>
      <w:r>
        <w:t xml:space="preserve"> </w:t>
      </w:r>
      <w:r>
        <w:t xml:space="preserve">mortality do not appear to differ. Mortality for the Increasing High domain was low (see dashboard) and was predominantly represented by plots in the southern Sierra Nevada mountains of California.</w:t>
      </w:r>
      <w:r>
        <w:t xml:space="preserve"> </w:t>
      </w:r>
      <w:r>
        <w:rPr>
          <w:i/>
          <w:iCs/>
        </w:rPr>
        <w:t xml:space="preserve">Pinus lambertiana</w:t>
      </w:r>
      <w:r>
        <w:t xml:space="preserve"> </w:t>
      </w:r>
      <w:r>
        <w:t xml:space="preserve">and</w:t>
      </w:r>
      <w:r>
        <w:t xml:space="preserve"> </w:t>
      </w:r>
      <w:r>
        <w:rPr>
          <w:i/>
          <w:iCs/>
        </w:rPr>
        <w:t xml:space="preserve">Calocedrus decurrens</w:t>
      </w:r>
      <w:r>
        <w:t xml:space="preserve"> </w:t>
      </w:r>
      <w:r>
        <w:t xml:space="preserve">exhibited high mortality in approximately the same region, a result supported by Fettig et al. (2019). This region experienced an extreme drought that killed, as estimated from aerial detection surveys, 170 million trees between 2010 and 2021 (Office of Environmental Health Hazard Assessment 2022). Dudney et al. (2020) also estimated lower mortality rates for</w:t>
      </w:r>
      <w:r>
        <w:t xml:space="preserve"> </w:t>
      </w:r>
      <w:r>
        <w:rPr>
          <w:i/>
          <w:iCs/>
        </w:rPr>
        <w:t xml:space="preserve">Pinus monticola</w:t>
      </w:r>
      <w:r>
        <w:t xml:space="preserve"> </w:t>
      </w:r>
      <w:r>
        <w:t xml:space="preserve">than for</w:t>
      </w:r>
      <w:r>
        <w:t xml:space="preserve"> </w:t>
      </w:r>
      <w:r>
        <w:rPr>
          <w:i/>
          <w:iCs/>
        </w:rPr>
        <w:t xml:space="preserve">Pinus lambertiana</w:t>
      </w:r>
      <w:r>
        <w:t xml:space="preserve"> </w:t>
      </w:r>
      <w:r>
        <w:t xml:space="preserve">in the Sequoia and Kings Canyon National Parks, which are within this region. They attributed some of the difference in mortality to elevation, with mountain pine beetle (</w:t>
      </w:r>
      <w:r>
        <w:rPr>
          <w:i/>
          <w:iCs/>
        </w:rPr>
        <w:t xml:space="preserve">Dendroctonus ponderosae</w:t>
      </w:r>
      <w:r>
        <w:t xml:space="preserve">), fire, and white pine blister rust (</w:t>
      </w:r>
      <w:r>
        <w:rPr>
          <w:i/>
          <w:iCs/>
        </w:rPr>
        <w:t xml:space="preserve">Cronartium ribicola</w:t>
      </w:r>
      <w:r>
        <w:t xml:space="preserve">) more prevalent at lower elevations, corresponding to the range of</w:t>
      </w:r>
      <w:r>
        <w:t xml:space="preserve"> </w:t>
      </w:r>
      <w:r>
        <w:rPr>
          <w:i/>
          <w:iCs/>
        </w:rPr>
        <w:t xml:space="preserve">Pinus lambertiana</w:t>
      </w:r>
      <w:r>
        <w:t xml:space="preserve">.</w:t>
      </w:r>
    </w:p>
    <w:p>
      <w:pPr>
        <w:pStyle w:val="BodyText"/>
      </w:pPr>
      <w:r>
        <w:t xml:space="preserve">Our results for</w:t>
      </w:r>
      <w:r>
        <w:t xml:space="preserve"> </w:t>
      </w:r>
      <w:r>
        <w:rPr>
          <w:i/>
          <w:iCs/>
        </w:rPr>
        <w:t xml:space="preserve">Thuja plicata</w:t>
      </w:r>
      <w:r>
        <w:t xml:space="preserve"> </w:t>
      </w:r>
      <w:r>
        <w:t xml:space="preserve">did not corroborate with those from other studies addressing mortality in this species. Andrus et al. (2024) sampled</w:t>
      </w:r>
      <w:r>
        <w:t xml:space="preserve"> </w:t>
      </w:r>
      <w:r>
        <w:rPr>
          <w:i/>
          <w:iCs/>
        </w:rPr>
        <w:t xml:space="preserve">Thuja plicata</w:t>
      </w:r>
      <w:r>
        <w:t xml:space="preserve"> </w:t>
      </w:r>
      <w:r>
        <w:t xml:space="preserve">at nine locations in Washington, northern Oregon, and Idaho that were without canopy dieback, exhibited canopy dieback, or had died. They found that mortality was associated with exceptionally warm and dry climate conditions. A collaboration of state and federal agencies is currently reaching out to the public to identify dieback sites for this species (website: Goodrich et al. 2025). Our analysis found that</w:t>
      </w:r>
      <w:r>
        <w:t xml:space="preserve"> </w:t>
      </w:r>
      <w:r>
        <w:rPr>
          <w:i/>
          <w:iCs/>
        </w:rPr>
        <w:t xml:space="preserve">Thuja plicata</w:t>
      </w:r>
      <w:r>
        <w:t xml:space="preserve"> </w:t>
      </w:r>
      <w:r>
        <w:t xml:space="preserve">exhibited the lowest decadal mortality rate and third highest growth rate of any species we examined, and demonstrated relatively strong sampling precision. It also had its highest growth rates in Medium domains. Our analysis may not be temporally sensitive enough to capture the same recent findings as Andrus et al., given that our FIA plot revisit data represented plot visits between 2011 to 2023. If species conditions change quickly (on the order of 3-5 years) the FIA plot data may not reflect the change until a full or nearly full set of plots is complete following the change in conditions. Another non-exclusive possibility is that our results, based on an extensive and spatially balanced network of plots, offer a robust and unbiased mortality estimate for this species and others.</w:t>
      </w:r>
      <w:r>
        <w:t xml:space="preserve"> </w:t>
      </w:r>
      <w:r>
        <w:rPr>
          <w:i/>
          <w:iCs/>
        </w:rPr>
        <w:t xml:space="preserve">Thuja plicata</w:t>
      </w:r>
      <w:r>
        <w:t xml:space="preserve"> </w:t>
      </w:r>
      <w:r>
        <w:t xml:space="preserve">may indeed be senescing in specific regions, but other species may be experiencing larger declines in growth rates or increases in mortality rates.</w:t>
      </w:r>
    </w:p>
    <w:p>
      <w:pPr>
        <w:pStyle w:val="BodyText"/>
      </w:pPr>
      <w:r>
        <w:t xml:space="preserve">We believe the value of our analysis lies in its application to a relatively large number of tree species and its approach for investigating life history conditions such as growth and mortality that require the documentation of tree condition change. The availability of a complete set of FIA revisit data in the states we investigated is a relatively recent development. Prior to the availability of the revisit data, Monleon and Lintz (2015) assessed tree species’ range shifts using the single-visit data set, comparing mean plot temperature values for sapling and mature trees. Groom and Monleon (2023) had access to a partial FIA revisit data set and found evidence of tree species density shifts along initial values of climatic variables but documented evidence of interactions between those variables’ initial and change values.</w:t>
      </w:r>
    </w:p>
    <w:p>
      <w:pPr>
        <w:pStyle w:val="BodyText"/>
      </w:pPr>
      <w:r>
        <w:t xml:space="preserve">The literature of model- and design-based estimation of FIA revisit data is growing. Examples of model-based analyses of mortality and growth using FIA revisit data include Shriver et al. (2022), and Ogana et al. (2025). Examples of growth and mortality design-based estimation that rely on FIA revisit data, similar to our state and overall analyses, include Vickers and Goff (2025), Goeking and Windmuller-Campione (2021), and Perret et al. (2023). Our examination approach for plot initial and delta CWD values shares some dimensional similarities with Dobrowski et al. (2013) who examined the velocity of CWD (change in distance over time) along with AET and minimum temperatures. Our approach allows us to capitalize on the amenability of the data to design-based estimation while accounting for the need, when examining revisit conditions, of capturing the initial and change value conditions.</w:t>
      </w:r>
    </w:p>
    <w:p>
      <w:pPr>
        <w:pStyle w:val="BodyText"/>
      </w:pPr>
      <w:r>
        <w:t xml:space="preserve">CWD is a defensible variable to use for examining regional water stress as it integrates climatic and soil water availability through considering precipitation and air temperatures (Stephenson 1990, 1998). CWD correlates well with tree growth (Dyer 2004, Restaino et al. 2016) and mortality (Das et al. 2013, Anderegg et al. 2015, Hammond et al. 2022). However, there are some challenges in relying on CWD or any other climate variable in a design-based regional analysis such as this one. The challenges stem from the remeasurement timeframe, using a fixed delta CWD domain threshold, the broad, fixed scope of our analysis, and the lack of incorporation of local-scale conditions.</w:t>
      </w:r>
    </w:p>
    <w:p>
      <w:pPr>
        <w:pStyle w:val="BodyText"/>
      </w:pPr>
      <w:r>
        <w:t xml:space="preserve">We did not detect sizable changes in CWD between visits, potentially signaling that 10 years is too soon to observe CWD-related species responses (perhaps truer for mortality than growth). Another possibility is that the spatial coarseness of the TerraClimate dataset (~4 km, Abatzoglou et al. 2018) potentially dampens the range of results we might see with a finer resolution climate model. The CWD changes we observed may have represented greater proportional change for some species than others, with species such as</w:t>
      </w:r>
      <w:r>
        <w:t xml:space="preserve"> </w:t>
      </w:r>
      <w:r>
        <w:rPr>
          <w:i/>
          <w:iCs/>
        </w:rPr>
        <w:t xml:space="preserve">Abies amabilis</w:t>
      </w:r>
      <w:r>
        <w:t xml:space="preserve">,</w:t>
      </w:r>
      <w:r>
        <w:t xml:space="preserve"> </w:t>
      </w:r>
      <w:r>
        <w:rPr>
          <w:i/>
          <w:iCs/>
        </w:rPr>
        <w:t xml:space="preserve">Alnus rubra</w:t>
      </w:r>
      <w:r>
        <w:t xml:space="preserve">, and</w:t>
      </w:r>
      <w:r>
        <w:t xml:space="preserve"> </w:t>
      </w:r>
      <w:r>
        <w:rPr>
          <w:i/>
          <w:iCs/>
        </w:rPr>
        <w:t xml:space="preserve">Juniperus occidentalis</w:t>
      </w:r>
      <w:r>
        <w:t xml:space="preserve"> </w:t>
      </w:r>
      <w:r>
        <w:t xml:space="preserve">exhibiting narrow initial CWD ranges.</w:t>
      </w:r>
    </w:p>
    <w:p>
      <w:pPr>
        <w:pStyle w:val="BodyText"/>
      </w:pPr>
      <w:r>
        <w:t xml:space="preserve">The scale of our analysis and the small number of variables we considered (two) likely limited our analysis because the evidence of water stress can manifest in multiple overlapping ways. Water stress alone can kill trees (Maherali et al. 2004, van Nieuwstadt and Sheil 2005, and Anderegg et al. 2015), but it can also increase the probability of insect (Preisler et al. 2012, Hart et al. 2014, examples and counterexamples in Huberty and Denno 2004) and wildfire-caused mortality (Abatzoglou and Williams 2016). With reference to Manion’s (1991)</w:t>
      </w:r>
      <w:r>
        <w:t xml:space="preserve"> </w:t>
      </w:r>
      <w:r>
        <w:t xml:space="preserve">“death spiral”</w:t>
      </w:r>
      <w:r>
        <w:t xml:space="preserve"> </w:t>
      </w:r>
      <w:r>
        <w:t xml:space="preserve">(see also Bennett et al. 2023 for a CWD-related version), teasing apart the cause of mortality from predisposing, inciting, and contributing factors is difficult at best, as these factors can interact (Gaylord et al. 2015). Our regional analysis necessarily aggregates across local-scale variation in interrelated predisposing conditions for individual tree mortality such as canopy openness (Lemmo et al. 2024), structural complexity (Ma et al. 2023), possibly tree height (Stovall et al. 2019, although see Stephenson and Das 2020), and within-stand competition (Ford et al. 2017). For management applications, particularly those for individual stands, our regional and domain estimates should be viewed as general results that may be modified by these local factors.</w:t>
      </w:r>
    </w:p>
    <w:p>
      <w:pPr>
        <w:pStyle w:val="BodyText"/>
      </w:pPr>
      <w:r>
        <w:t xml:space="preserve">Although our current analysis offers a coarse examination of species status across a large area, future analyses could refine our approach for assessing tree species growth and mortality by domains. Our climate domains could be divided further into sub-domains: trees could be assigned to categories by size, stand competition, plot aspect, or plot elevation within the climate domain categories. This approach has its limits: only estimates for certain widespread tree species would be reasonable to report, and domains could not be divided too finely into sub-domains due to sample size constraints, limiting the number of domain variables that could be considered simultaneously. However, this approach would likely permit design-based estimation at a resolution better attuned to capturing factors affecting growth and mortality.</w:t>
      </w:r>
    </w:p>
    <w:p>
      <w:pPr>
        <w:pStyle w:val="BodyText"/>
      </w:pPr>
      <w:r>
        <w:t xml:space="preserve">Our analysis captures significant changes in mortality and growth for the tree species we examined, with some trees exhibiting increases in mortality and decreases in growth either in portions of their ranges or across their entire range. For some species in semi-arid environments such as</w:t>
      </w:r>
      <w:r>
        <w:t xml:space="preserve"> </w:t>
      </w:r>
      <w:r>
        <w:rPr>
          <w:i/>
          <w:iCs/>
        </w:rPr>
        <w:t xml:space="preserve">Pinus ponderosa</w:t>
      </w:r>
      <w:r>
        <w:t xml:space="preserve">,</w:t>
      </w:r>
      <w:r>
        <w:t xml:space="preserve"> </w:t>
      </w:r>
      <w:r>
        <w:rPr>
          <w:i/>
          <w:iCs/>
        </w:rPr>
        <w:t xml:space="preserve">Pseudotsuga menziesii</w:t>
      </w:r>
      <w:r>
        <w:t xml:space="preserve">,</w:t>
      </w:r>
      <w:r>
        <w:t xml:space="preserve"> </w:t>
      </w:r>
      <w:r>
        <w:rPr>
          <w:i/>
          <w:iCs/>
        </w:rPr>
        <w:t xml:space="preserve">Pinus contorta</w:t>
      </w:r>
      <w:r>
        <w:t xml:space="preserve">,</w:t>
      </w:r>
      <w:r>
        <w:t xml:space="preserve"> </w:t>
      </w:r>
      <w:r>
        <w:rPr>
          <w:i/>
          <w:iCs/>
        </w:rPr>
        <w:t xml:space="preserve">Picea engelmannii</w:t>
      </w:r>
      <w:r>
        <w:t xml:space="preserve">, and</w:t>
      </w:r>
      <w:r>
        <w:t xml:space="preserve"> </w:t>
      </w:r>
      <w:r>
        <w:rPr>
          <w:i/>
          <w:iCs/>
        </w:rPr>
        <w:t xml:space="preserve">Abies lasiocarpa</w:t>
      </w:r>
      <w:r>
        <w:t xml:space="preserve">, we may be observing ecosystem shifts with a change in water stress combined with disturbances such as wildfire and insect mortality (Parks et al. 2019, Halofsky et al. 2020, Raymond et al. 2023). Our hope is that our results for individual species serve to highlight potential further inquiries into the status of the species we examined. For managers, the results may be used to inform action for resiliency. With the shift in ecosystems, landowners may be motivated to assist with species migration when planting or replanting (Raymond et al. 2023), and forest thinning may help reduce water stress and the impacts of fire and insects (Bernal et al. 2023).</w:t>
      </w:r>
    </w:p>
    <w:bookmarkEnd w:id="38"/>
    <w:bookmarkStart w:id="39" w:name="conclusion"/>
    <w:p>
      <w:pPr>
        <w:pStyle w:val="Heading1"/>
      </w:pPr>
      <w:r>
        <w:t xml:space="preserve">5. Conclusion</w:t>
      </w:r>
    </w:p>
    <w:p>
      <w:pPr>
        <w:pStyle w:val="FirstParagraph"/>
      </w:pPr>
      <w:r>
        <w:t xml:space="preserve">We assessed a mortality and growth rates for 23 species across the west coast of the United States. For the species examined we found no general patterns in CWD domains related to tree growth or mortality; rather, the results appeared species specific. We believe our analysis approach can be refined for individual species analysis, with the potential for integrating a third variable that could introduce information besides a condition variable and change variable. Results from our analysis and the analyses of others provide valuable and reliable insights into the condition of several tree species that exhibit abnormally high mortality and low growth. Our hope is that these findings will inform management and be of use in the development of monitoring efforts for these species in the rapidly changing landscape of western North America.</w:t>
      </w:r>
    </w:p>
    <w:bookmarkEnd w:id="39"/>
    <w:bookmarkStart w:id="40"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used Claude.ai to provide initial manuscript proofreading, initial construction of the Shiny app, and a reduction of analysis code execution time. After using this tool, the authors reviewed, validated, and edited the content as needed and take full responsibility for the content of the published article.</w:t>
      </w:r>
    </w:p>
    <w:bookmarkEnd w:id="40"/>
    <w:bookmarkStart w:id="41"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41"/>
    <w:bookmarkStart w:id="42" w:name="credit-author-contribution-statement"/>
    <w:p>
      <w:pPr>
        <w:pStyle w:val="Heading1"/>
      </w:pPr>
      <w:r>
        <w:t xml:space="preserve">CRediT Author Contribution Statement</w:t>
      </w:r>
    </w:p>
    <w:p>
      <w:pPr>
        <w:pStyle w:val="FirstParagraph"/>
      </w:pPr>
      <w:r>
        <w:rPr>
          <w:b/>
          <w:bCs/>
        </w:rPr>
        <w:t xml:space="preserve">Jeremiah D Groom</w:t>
      </w:r>
      <w:r>
        <w:t xml:space="preserve">: Writing – original draft, visualization, validation, software, project administration, methodology, formal analysis, data curation, conceptualization.</w:t>
      </w:r>
      <w:r>
        <w:t xml:space="preserve"> </w:t>
      </w:r>
      <w:r>
        <w:rPr>
          <w:b/>
          <w:bCs/>
        </w:rPr>
        <w:t xml:space="preserve">Bryce Frank</w:t>
      </w:r>
      <w:r>
        <w:t xml:space="preserve">: Writing – review &amp; editing, visualization, methodology.</w:t>
      </w:r>
    </w:p>
    <w:bookmarkEnd w:id="42"/>
    <w:bookmarkStart w:id="43" w:name="data-availability"/>
    <w:p>
      <w:pPr>
        <w:pStyle w:val="Heading1"/>
      </w:pPr>
      <w:r>
        <w:t xml:space="preserve">Data Availability</w:t>
      </w:r>
    </w:p>
    <w:p>
      <w:pPr>
        <w:pStyle w:val="FirstParagraph"/>
      </w:pPr>
      <w:r>
        <w:t xml:space="preserve">The data for this study are available at from the corresponding author upon reasonable request and at the GitHub repository</w:t>
      </w:r>
      <w:r>
        <w:t xml:space="preserve"> </w:t>
      </w:r>
      <w:hyperlink r:id="rId29">
        <w:r>
          <w:rPr>
            <w:rStyle w:val="Hyperlink"/>
          </w:rPr>
          <w:t xml:space="preserve">https://github.com/jeremygroom/Tree_Growth_Death</w:t>
        </w:r>
      </w:hyperlink>
      <w:r>
        <w:t xml:space="preserve">.</w:t>
      </w:r>
    </w:p>
    <w:bookmarkEnd w:id="43"/>
    <w:bookmarkStart w:id="44" w:name="supplemental-material"/>
    <w:p>
      <w:pPr>
        <w:pStyle w:val="Heading1"/>
      </w:pPr>
      <w:r>
        <w:t xml:space="preserve">Supplemental Material</w:t>
      </w:r>
    </w:p>
    <w:p>
      <w:pPr>
        <w:pStyle w:val="FirstParagraph"/>
      </w:pPr>
      <w:r>
        <w:t xml:space="preserve">Supplemental material associated with this article can be found in the online version.</w:t>
      </w:r>
    </w:p>
    <w:bookmarkEnd w:id="44"/>
    <w:bookmarkStart w:id="45" w:name="acknowledgments"/>
    <w:p>
      <w:pPr>
        <w:pStyle w:val="Heading1"/>
      </w:pPr>
      <w:r>
        <w:t xml:space="preserve">Acknowledgments</w:t>
      </w:r>
    </w:p>
    <w:p>
      <w:pPr>
        <w:pStyle w:val="FirstParagraph"/>
      </w:pPr>
      <w:r>
        <w:t xml:space="preserve">We thank Andrew Yost from the Oregon Department of Forestry for supporting this project and for reviewing a manuscript draft. We thank Josée Rousseau for reviewing a manuscript draft. Also, we are grateful to FIA field crews and data managers for their expertise and efforts to provide quality data.</w:t>
      </w:r>
    </w:p>
    <w:bookmarkEnd w:id="45"/>
    <w:bookmarkStart w:id="105" w:name="references"/>
    <w:p>
      <w:pPr>
        <w:pStyle w:val="Heading1"/>
      </w:pPr>
      <w:r>
        <w:t xml:space="preserve">References</w:t>
      </w:r>
    </w:p>
    <w:bookmarkStart w:id="104" w:name="refs"/>
    <w:p>
      <w:pPr>
        <w:pStyle w:val="Bibliography"/>
      </w:pPr>
      <w:r>
        <w:t xml:space="preserve">Abatzoglou JT, Williams AP (2016) Impact of anthropogenic climate change on wildfire across western US forests. Proc Natl Acad Sci 113(42):11770-11775.</w:t>
      </w:r>
      <w:r>
        <w:t xml:space="preserve"> </w:t>
      </w:r>
      <w:hyperlink r:id="rId46">
        <w:r>
          <w:rPr>
            <w:rStyle w:val="Hyperlink"/>
          </w:rPr>
          <w:t xml:space="preserve">https://doi.org/10.1038/sdata.2017.191</w:t>
        </w:r>
      </w:hyperlink>
    </w:p>
    <w:p>
      <w:pPr>
        <w:pStyle w:val="Bibliography"/>
      </w:pPr>
      <w:r>
        <w:t xml:space="preserve">Abatzoglou JT, Dobrowski SZ, Parks SA, Hegewisch KC (2018) TerraClimate, a high-resolution global dataset of monthly climate and climatic water balance from 1958–2015. Sci Data 5(1):1-12.</w:t>
      </w:r>
      <w:r>
        <w:t xml:space="preserve"> </w:t>
      </w:r>
      <w:hyperlink r:id="rId47">
        <w:r>
          <w:rPr>
            <w:rStyle w:val="Hyperlink"/>
          </w:rPr>
          <w:t xml:space="preserve">https://doi.org/10.1073/pnas.1607171113</w:t>
        </w:r>
      </w:hyperlink>
    </w:p>
    <w:p>
      <w:pPr>
        <w:pStyle w:val="Bibliography"/>
      </w:pPr>
      <w:r>
        <w:t xml:space="preserve">Adams HD, Macalady AK, Breshears DD, Allen CD, Stephenson NL, Saleska SR, Huxman TE, McDowell NG (2010) Climate‐induced tree mortality: Earth system consequences. Eos Trans Am Geophys Union 91(17):153-154.</w:t>
      </w:r>
    </w:p>
    <w:p>
      <w:pPr>
        <w:pStyle w:val="Bibliography"/>
      </w:pPr>
      <w:r>
        <w:t xml:space="preserve">Adams HD, Zeppel MJB, Anderegg WRL et al. (59 more authors) (2017) A multi-species synthesis of physiological mechanisms in drought-induced tree mortality. Nat Ecol Evol 1(9):1285-1291.</w:t>
      </w:r>
      <w:r>
        <w:t xml:space="preserve"> </w:t>
      </w:r>
      <w:hyperlink r:id="rId48">
        <w:r>
          <w:rPr>
            <w:rStyle w:val="Hyperlink"/>
          </w:rPr>
          <w:t xml:space="preserve">https://doi.org/10.1038/s41559-017-0248-x</w:t>
        </w:r>
      </w:hyperlink>
    </w:p>
    <w:p>
      <w:pPr>
        <w:pStyle w:val="Bibliography"/>
      </w:pPr>
      <w:r>
        <w:t xml:space="preserve">Anderegg WR, Flint A, Huang CY, Flint L, Berry JA, Davis FW, Sperry JS, Field CB (2015) Tree mortality predicted from drought-induced vascular damage. Nat Geosci 8(5):367-371.</w:t>
      </w:r>
      <w:r>
        <w:t xml:space="preserve"> </w:t>
      </w:r>
      <w:hyperlink r:id="rId49">
        <w:r>
          <w:rPr>
            <w:rStyle w:val="Hyperlink"/>
          </w:rPr>
          <w:t xml:space="preserve">https://doi.org/10.1038/ngeo2400</w:t>
        </w:r>
      </w:hyperlink>
    </w:p>
    <w:p>
      <w:pPr>
        <w:pStyle w:val="Bibliography"/>
      </w:pPr>
      <w:r>
        <w:t xml:space="preserve">Andrus RA, Harvey BJ, Chai RK, Veblen TT (2018) Different vital rates of Engelmann spruce and subalpine fir explain discordance in understory and overstory dominance. Can J For Res 48(12):1554-1562.</w:t>
      </w:r>
      <w:r>
        <w:t xml:space="preserve"> </w:t>
      </w:r>
      <w:hyperlink r:id="rId50">
        <w:r>
          <w:rPr>
            <w:rStyle w:val="Hyperlink"/>
          </w:rPr>
          <w:t xml:space="preserve">https://doi.org/10.1139/cjfr-2018-0182</w:t>
        </w:r>
      </w:hyperlink>
    </w:p>
    <w:p>
      <w:pPr>
        <w:pStyle w:val="Bibliography"/>
      </w:pPr>
      <w:r>
        <w:t xml:space="preserve">Andrus RA, Peach LR, Cinquini AR, Mills B, Yusi JT, Buhl C, Fischer M, Goodrich BA, Hulbert JM, Holz A, Meddens AJH (2024) Canary in the forest?—Tree mortality and canopy dieback of western redcedar linked to drier and warmer summers. J Biogeogr 51(1):103-119.</w:t>
      </w:r>
      <w:r>
        <w:t xml:space="preserve"> </w:t>
      </w:r>
      <w:hyperlink r:id="rId51">
        <w:r>
          <w:rPr>
            <w:rStyle w:val="Hyperlink"/>
          </w:rPr>
          <w:t xml:space="preserve">https://doi.org/10.1111/jbi.14732</w:t>
        </w:r>
      </w:hyperlink>
    </w:p>
    <w:p>
      <w:pPr>
        <w:pStyle w:val="Bibliography"/>
      </w:pPr>
      <w:r>
        <w:t xml:space="preserve">Bechtold WA, Scott CT (2005) The Forest Inventory and Analysis plot design, in: Bechtold WA, Patterson PL (Eds.), The Enhanced Forest Inventory and Analysis Program – National Sampling Design and Estimation Procedures. Gen Tech Rep US Dep Agric For Serv SRS-80.</w:t>
      </w:r>
    </w:p>
    <w:p>
      <w:pPr>
        <w:pStyle w:val="Bibliography"/>
      </w:pPr>
      <w:r>
        <w:t xml:space="preserve">Bennett M, Shaw DC, Lowrey L (2023) Recent Douglas-fir mortality in the Klamath Mountains ecoregion of Oregon: Evidence for a decline spiral. J For 121(3):246-261.</w:t>
      </w:r>
      <w:r>
        <w:t xml:space="preserve"> </w:t>
      </w:r>
      <w:hyperlink r:id="rId52">
        <w:r>
          <w:rPr>
            <w:rStyle w:val="Hyperlink"/>
          </w:rPr>
          <w:t xml:space="preserve">https://doi.org/10.1093/jofore/fvad007</w:t>
        </w:r>
      </w:hyperlink>
    </w:p>
    <w:p>
      <w:pPr>
        <w:pStyle w:val="Bibliography"/>
      </w:pPr>
      <w:r>
        <w:t xml:space="preserve">Bernal AA, Kane JM, Knapp EE, Zald HSJ (2023) Tree resistance to drought and bark beetle-associated mortality following thinning and prescribed fire treatments. For Ecol Manag 530:120758.</w:t>
      </w:r>
      <w:r>
        <w:t xml:space="preserve"> </w:t>
      </w:r>
      <w:hyperlink r:id="rId53">
        <w:r>
          <w:rPr>
            <w:rStyle w:val="Hyperlink"/>
          </w:rPr>
          <w:t xml:space="preserve">https://doi.org/10.1016/j.foreco.2022.120758</w:t>
        </w:r>
      </w:hyperlink>
    </w:p>
    <w:p>
      <w:pPr>
        <w:pStyle w:val="Bibliography"/>
      </w:pPr>
      <w:r>
        <w:t xml:space="preserve">Betzen JJ, Ramsey A, Omdal D, Ettl GJ, Tobin PC (2021) Bigleaf maple, Acer macrophyllum Pursh, decline in western Washington, USA. For Ecol Manag 501:119681.</w:t>
      </w:r>
      <w:r>
        <w:t xml:space="preserve"> </w:t>
      </w:r>
      <w:hyperlink r:id="rId54">
        <w:r>
          <w:rPr>
            <w:rStyle w:val="Hyperlink"/>
          </w:rPr>
          <w:t xml:space="preserve">https://doi.org/10.1016/j.foreco.2021.119681</w:t>
        </w:r>
      </w:hyperlink>
    </w:p>
    <w:p>
      <w:pPr>
        <w:pStyle w:val="Bibliography"/>
      </w:pPr>
      <w:r>
        <w:t xml:space="preserve">Breshears DD, Myers OB, Meyer CW, Barnes FJ, Zou CB, Allen CD, McDowell NG, Pockman WT (2009) Tree die‐off in response to global change‐type drought: mortality insights from a decade of plant water potential measurements. Front Ecol Environ 7(4):185-189.</w:t>
      </w:r>
      <w:r>
        <w:t xml:space="preserve"> </w:t>
      </w:r>
      <w:hyperlink r:id="rId55">
        <w:r>
          <w:rPr>
            <w:rStyle w:val="Hyperlink"/>
          </w:rPr>
          <w:t xml:space="preserve">https://doi.org/10.1890/080016</w:t>
        </w:r>
      </w:hyperlink>
    </w:p>
    <w:p>
      <w:pPr>
        <w:pStyle w:val="Bibliography"/>
      </w:pPr>
      <w:r>
        <w:t xml:space="preserve">Brown KR, Courtin PJ (2018) Can phosphorus additions increase long-term growth and survival of red alder (Alnus rubra Bong.) on periodically dry sites? For Ecol Manag 430:545-557.</w:t>
      </w:r>
      <w:r>
        <w:t xml:space="preserve"> </w:t>
      </w:r>
      <w:hyperlink r:id="rId56">
        <w:r>
          <w:rPr>
            <w:rStyle w:val="Hyperlink"/>
          </w:rPr>
          <w:t xml:space="preserve">https://doi.org/10.1016/j.foreco.2018.08.035</w:t>
        </w:r>
      </w:hyperlink>
    </w:p>
    <w:p>
      <w:pPr>
        <w:pStyle w:val="Bibliography"/>
      </w:pPr>
      <w:r>
        <w:t xml:space="preserve">Burns RM, Honkala BH, tech coords (1990a) Silvics of North America. Volume 1. Conifers. Agricultural Handbook 654. U.S. Department of Agriculture, Forest Service, Washington DC. 675p.</w:t>
      </w:r>
    </w:p>
    <w:p>
      <w:pPr>
        <w:pStyle w:val="Bibliography"/>
      </w:pPr>
      <w:r>
        <w:t xml:space="preserve">Burns RM, Honkala BH, tech coords (1990b) Silvics of North America. Volume 2. Hardwoods. Agricultural Handbook 654. U.S. Department of Agriculture, Forest Service, Washington DC. 877p.</w:t>
      </w:r>
    </w:p>
    <w:p>
      <w:pPr>
        <w:pStyle w:val="Bibliography"/>
      </w:pPr>
      <w:r>
        <w:t xml:space="preserve">Burrill EA, DiTommaso AM, Turner JA, Pugh SA, Menlove J, Christensen G, Perry CJ, Conkling BL (2023) The Forest Inventory and Analysis Database: database description and user guide version 9.1 for Phase 2. U.S. Department of Agriculture, Forest Service. 1066 [Online]. Available at web address:</w:t>
      </w:r>
      <w:r>
        <w:t xml:space="preserve"> </w:t>
      </w:r>
      <w:hyperlink r:id="rId57">
        <w:r>
          <w:rPr>
            <w:rStyle w:val="Hyperlink"/>
          </w:rPr>
          <w:t xml:space="preserve">https://www.fia.fs.usda.gov/library/database-documentation/index</w:t>
        </w:r>
      </w:hyperlink>
      <w:r>
        <w:t xml:space="preserve">.</w:t>
      </w:r>
    </w:p>
    <w:p>
      <w:pPr>
        <w:pStyle w:val="Bibliography"/>
      </w:pPr>
      <w:r>
        <w:t xml:space="preserve">Das AJ, Stephenson NL, Flint A, Das T, van Mantgem PJ (2013) Climatic correlates of tree mortality in water-and energy-limited forests. PLoS One 8(7):e69917.</w:t>
      </w:r>
      <w:r>
        <w:t xml:space="preserve"> </w:t>
      </w:r>
      <w:hyperlink r:id="rId58">
        <w:r>
          <w:rPr>
            <w:rStyle w:val="Hyperlink"/>
          </w:rPr>
          <w:t xml:space="preserve">https://doi.org/10.1371/journal.pone.0069917</w:t>
        </w:r>
      </w:hyperlink>
    </w:p>
    <w:p>
      <w:pPr>
        <w:pStyle w:val="Bibliography"/>
      </w:pPr>
      <w:r>
        <w:t xml:space="preserve">Dobrowski SZ, Abatzoglou J, Swanson AK, Greenberg JA, Mynsberge AR, Holden ZA, Schwartz MK (2013) The climate velocity of the contiguous United States during the 20th century. Glob Change Biol 19(1):241-251.</w:t>
      </w:r>
      <w:r>
        <w:t xml:space="preserve"> </w:t>
      </w:r>
      <w:hyperlink r:id="rId59">
        <w:r>
          <w:rPr>
            <w:rStyle w:val="Hyperlink"/>
          </w:rPr>
          <w:t xml:space="preserve">https://doi.org/10.1111/gcb.12026</w:t>
        </w:r>
      </w:hyperlink>
    </w:p>
    <w:p>
      <w:pPr>
        <w:pStyle w:val="Bibliography"/>
      </w:pPr>
      <w:r>
        <w:t xml:space="preserve">Dudney JC, Nesmith JC, Cahill MC, Cribbs JE, Duriscoe DM, Das AJ, Stephenson NL, Battles JJ (2020) Compounding effects of white pine blister rust, mountain pine beetle, and fire threaten four white pine species. Ecosphere 11(10):e03263.</w:t>
      </w:r>
      <w:r>
        <w:t xml:space="preserve"> </w:t>
      </w:r>
      <w:hyperlink r:id="rId60">
        <w:r>
          <w:rPr>
            <w:rStyle w:val="Hyperlink"/>
          </w:rPr>
          <w:t xml:space="preserve">https://doi.org/10.1002/ecs2.3263</w:t>
        </w:r>
      </w:hyperlink>
    </w:p>
    <w:p>
      <w:pPr>
        <w:pStyle w:val="Bibliography"/>
      </w:pPr>
      <w:r>
        <w:t xml:space="preserve">Dyer JM (2004) A water budget approach to predicting tree species growth and abundance, utilizing paleoclimatology sources. Clim Res 28:1-10.</w:t>
      </w:r>
      <w:r>
        <w:t xml:space="preserve"> </w:t>
      </w:r>
      <w:hyperlink r:id="rId61">
        <w:r>
          <w:rPr>
            <w:rStyle w:val="Hyperlink"/>
          </w:rPr>
          <w:t xml:space="preserve">https://doi.org/10.3354/cr028001</w:t>
        </w:r>
      </w:hyperlink>
    </w:p>
    <w:p>
      <w:pPr>
        <w:pStyle w:val="Bibliography"/>
      </w:pPr>
      <w:r>
        <w:t xml:space="preserve">Fettig CJ, Mortenson LA, Bulaon BM, Foulk PB (2019) Tree mortality following drought in the central and southern Sierra Nevada, California, US. For Ecol Manag 432:164-178.</w:t>
      </w:r>
      <w:r>
        <w:t xml:space="preserve"> </w:t>
      </w:r>
      <w:hyperlink r:id="rId62">
        <w:r>
          <w:rPr>
            <w:rStyle w:val="Hyperlink"/>
          </w:rPr>
          <w:t xml:space="preserve">https://doi.org/10.1016/j.foreco.2018.09.006</w:t>
        </w:r>
      </w:hyperlink>
    </w:p>
    <w:p>
      <w:pPr>
        <w:pStyle w:val="Bibliography"/>
      </w:pPr>
      <w:r>
        <w:t xml:space="preserve">Ford KR, Breckheimer IK, Franklin JF, Freund JA, Kroiss SJ, Larson AJ, Theobald EJ, HilleRisLambers J (2017) Competition alters tree growth responses to climate at individual and stand scales. Can J For Res 47(1):53-62.</w:t>
      </w:r>
      <w:r>
        <w:t xml:space="preserve"> </w:t>
      </w:r>
      <w:hyperlink r:id="rId63">
        <w:r>
          <w:rPr>
            <w:rStyle w:val="Hyperlink"/>
          </w:rPr>
          <w:t xml:space="preserve">https://doi.org/10.1139/cjfr-2016-0188</w:t>
        </w:r>
      </w:hyperlink>
    </w:p>
    <w:p>
      <w:pPr>
        <w:pStyle w:val="Bibliography"/>
      </w:pPr>
      <w:r>
        <w:t xml:space="preserve">Gaylord ML, Kolb TE, McDowell NG (2015) Mechanisms of piñon pine mortality after severe drought: a retrospective study of mature trees. Tree Physiol 35(8):806-816.</w:t>
      </w:r>
      <w:r>
        <w:t xml:space="preserve"> </w:t>
      </w:r>
      <w:hyperlink r:id="rId64">
        <w:r>
          <w:rPr>
            <w:rStyle w:val="Hyperlink"/>
          </w:rPr>
          <w:t xml:space="preserve">https://doi.org/10.1093/treephys/tpv038</w:t>
        </w:r>
      </w:hyperlink>
    </w:p>
    <w:p>
      <w:pPr>
        <w:pStyle w:val="Bibliography"/>
      </w:pPr>
      <w:r>
        <w:t xml:space="preserve">Goeking SA, Windmuller-Campione MA (2021) Comparative species assessments of five-needle pines throughout the western United States. For Ecol Manag 496:119438.</w:t>
      </w:r>
      <w:r>
        <w:t xml:space="preserve"> </w:t>
      </w:r>
      <w:hyperlink r:id="rId65">
        <w:r>
          <w:rPr>
            <w:rStyle w:val="Hyperlink"/>
          </w:rPr>
          <w:t xml:space="preserve">https://doi.org/10.1016/j.foreco.2021.119438</w:t>
        </w:r>
      </w:hyperlink>
    </w:p>
    <w:p>
      <w:pPr>
        <w:pStyle w:val="Bibliography"/>
      </w:pPr>
      <w:r>
        <w:t xml:space="preserve">Goodrich B, Fischer M, Buhl C (2025) Western redcedar dieback.</w:t>
      </w:r>
      <w:r>
        <w:t xml:space="preserve"> </w:t>
      </w:r>
      <w:hyperlink r:id="rId66">
        <w:r>
          <w:rPr>
            <w:rStyle w:val="Hyperlink"/>
          </w:rPr>
          <w:t xml:space="preserve">https://storymaps.arcgis.com/stories/1405dab5f59246aa83849ec43f72b15a</w:t>
        </w:r>
      </w:hyperlink>
      <w:r>
        <w:t xml:space="preserve">. Accessed 11 November 2025.</w:t>
      </w:r>
      <w:r>
        <w:t xml:space="preserve"> </w:t>
      </w:r>
      <w:r>
        <w:t xml:space="preserve">Groom JD, Monleon VJ (2023) West coast US tree species show stronger evidence for shifts in density than range. For Ecol Manag 545:121262.</w:t>
      </w:r>
      <w:r>
        <w:t xml:space="preserve"> </w:t>
      </w:r>
      <w:hyperlink r:id="rId67">
        <w:r>
          <w:rPr>
            <w:rStyle w:val="Hyperlink"/>
          </w:rPr>
          <w:t xml:space="preserve">https://doi.org/10.1016/j.foreco.2023.121262</w:t>
        </w:r>
      </w:hyperlink>
    </w:p>
    <w:p>
      <w:pPr>
        <w:pStyle w:val="Bibliography"/>
      </w:pPr>
      <w:r>
        <w:t xml:space="preserve">Hammond WM, Williams AP, Abatzoglou JT, Adams HD, Klein T, López R, Sáenz-Romero C, Hartmann H, Breshears DD, Allen CD (2022) Global field observations of tree die-off reveal hotter-drought fingerprint for Earth’s forests. Nat Commun 13(1):1761.</w:t>
      </w:r>
      <w:r>
        <w:t xml:space="preserve"> </w:t>
      </w:r>
      <w:hyperlink r:id="rId68">
        <w:r>
          <w:rPr>
            <w:rStyle w:val="Hyperlink"/>
          </w:rPr>
          <w:t xml:space="preserve">https://doi.org/10.1038/s41467-022-29289-2</w:t>
        </w:r>
      </w:hyperlink>
    </w:p>
    <w:p>
      <w:pPr>
        <w:pStyle w:val="Bibliography"/>
      </w:pPr>
      <w:r>
        <w:t xml:space="preserve">Halofsky JE, Peterson DL, Harvey BJ (2020) Changing wildfire, changing forests: the effects of climate change on fire regimes and vegetation in the Pacific Northwest, USA. Fire Ecol 16(4)</w:t>
      </w:r>
      <w:r>
        <w:t xml:space="preserve"> </w:t>
      </w:r>
      <w:hyperlink r:id="rId69">
        <w:r>
          <w:rPr>
            <w:rStyle w:val="Hyperlink"/>
          </w:rPr>
          <w:t xml:space="preserve">https://doi.org/10.1186/s42408-019-0062-8</w:t>
        </w:r>
      </w:hyperlink>
    </w:p>
    <w:p>
      <w:pPr>
        <w:pStyle w:val="Bibliography"/>
      </w:pPr>
      <w:r>
        <w:t xml:space="preserve">Hart SJ, Veblen TT, Eisenhart KS, Jarvis D, Kulakowski D (2014) Drought induces spruce beetle (Dendroctonus rufipennis) outbreaks across northwestern Colorado. Ecology 95(4):930-939.</w:t>
      </w:r>
      <w:r>
        <w:t xml:space="preserve"> </w:t>
      </w:r>
      <w:hyperlink r:id="rId70">
        <w:r>
          <w:rPr>
            <w:rStyle w:val="Hyperlink"/>
          </w:rPr>
          <w:t xml:space="preserve">https://doi.org/10.1890/13-0230.1</w:t>
        </w:r>
      </w:hyperlink>
    </w:p>
    <w:p>
      <w:pPr>
        <w:pStyle w:val="Bibliography"/>
      </w:pPr>
      <w:r>
        <w:t xml:space="preserve">Hicke JA, Meddens AJ, Kolden CA (2016) Recent tree mortality in the western United States from bark beetles and forest fires. For Sci 62(2):141-153.</w:t>
      </w:r>
      <w:r>
        <w:t xml:space="preserve"> </w:t>
      </w:r>
      <w:hyperlink r:id="rId71">
        <w:r>
          <w:rPr>
            <w:rStyle w:val="Hyperlink"/>
          </w:rPr>
          <w:t xml:space="preserve">https://doi.org/10.5849/forsci.15-086</w:t>
        </w:r>
      </w:hyperlink>
    </w:p>
    <w:p>
      <w:pPr>
        <w:pStyle w:val="Bibliography"/>
      </w:pPr>
      <w:r>
        <w:t xml:space="preserve">Huberty AF, Denno RF (2004) Plant water stress and its consequences for herbivorous insects: a new synthesis. Ecology 85(5):1383-1398.</w:t>
      </w:r>
      <w:r>
        <w:t xml:space="preserve"> </w:t>
      </w:r>
      <w:hyperlink r:id="rId72">
        <w:r>
          <w:rPr>
            <w:rStyle w:val="Hyperlink"/>
          </w:rPr>
          <w:t xml:space="preserve">https://doi.org/10.1890/03-0352</w:t>
        </w:r>
      </w:hyperlink>
    </w:p>
    <w:p>
      <w:pPr>
        <w:pStyle w:val="Bibliography"/>
      </w:pPr>
      <w:r>
        <w:t xml:space="preserve">Johnston JD, Stephens P, Schmidt M, Jeronimo S, Brackett A, Wuenschel A, Ulrich DE, Paine R, Duloisy L, Greenler S, Larson AJ, Churchill DJ (2025) Significant Mortality of Old Trees Across a Dry Forest Landscape, Oregon, USA. For Ecol Manag 593:122907.</w:t>
      </w:r>
      <w:r>
        <w:t xml:space="preserve"> </w:t>
      </w:r>
      <w:hyperlink r:id="rId73">
        <w:r>
          <w:rPr>
            <w:rStyle w:val="Hyperlink"/>
          </w:rPr>
          <w:t xml:space="preserve">https://doi.org/10.1016/j.foreco.2025.122907</w:t>
        </w:r>
      </w:hyperlink>
      <w:r>
        <w:t xml:space="preserve">.</w:t>
      </w:r>
    </w:p>
    <w:p>
      <w:pPr>
        <w:pStyle w:val="Bibliography"/>
      </w:pPr>
      <w:r>
        <w:t xml:space="preserve">Juang CS, Williams AP, Abatzoglou JT, Balch JK, Hurteau MD, Moritz MA (2022) Rapid growth of large forest fires drives the exponential response of annual forest‐fire area to aridity in the western United States. Geophys Res Lett 49(5):e2021GL097131.</w:t>
      </w:r>
      <w:r>
        <w:t xml:space="preserve"> </w:t>
      </w:r>
      <w:hyperlink r:id="rId74">
        <w:r>
          <w:rPr>
            <w:rStyle w:val="Hyperlink"/>
          </w:rPr>
          <w:t xml:space="preserve">https://doi.org/10.1029/2021GL097131</w:t>
        </w:r>
      </w:hyperlink>
    </w:p>
    <w:p>
      <w:pPr>
        <w:pStyle w:val="Bibliography"/>
      </w:pPr>
      <w:r>
        <w:t xml:space="preserve">Lemmo SL, Kerhoulas LP, Sherriff RL, Beckmann JJ (2024) Drought effects on tree mortality and regeneration in northern California. For Ecol Manag 563:121969.</w:t>
      </w:r>
      <w:r>
        <w:t xml:space="preserve"> </w:t>
      </w:r>
      <w:hyperlink r:id="rId75">
        <w:r>
          <w:rPr>
            <w:rStyle w:val="Hyperlink"/>
          </w:rPr>
          <w:t xml:space="preserve">https://doi.org/10.1016/j.foreco.2024.121969</w:t>
        </w:r>
      </w:hyperlink>
    </w:p>
    <w:p>
      <w:pPr>
        <w:pStyle w:val="Bibliography"/>
      </w:pPr>
      <w:r>
        <w:t xml:space="preserve">Ma Q, Su Y, Niu C, Ma Q, Hu T, Luo X, Tai X, Qiu T, Zhang Y, Bales RC, Liu L (2023) Tree mortality during long-term droughts is lower in structurally complex forest stands. Nat Commun 14(1):7467.</w:t>
      </w:r>
      <w:r>
        <w:t xml:space="preserve"> </w:t>
      </w:r>
      <w:hyperlink r:id="rId76">
        <w:r>
          <w:rPr>
            <w:rStyle w:val="Hyperlink"/>
          </w:rPr>
          <w:t xml:space="preserve">https://doi.org/10.1038/s41467-023-43083-8</w:t>
        </w:r>
      </w:hyperlink>
    </w:p>
    <w:p>
      <w:pPr>
        <w:pStyle w:val="Bibliography"/>
      </w:pPr>
      <w:r>
        <w:t xml:space="preserve">Maherali H, Pockman WT, Jackson RB (2004) Adaptive variation in the vulnerability of woody plants to xylem cavitation. Ecology 85(8):2184-2199.</w:t>
      </w:r>
      <w:r>
        <w:t xml:space="preserve"> </w:t>
      </w:r>
      <w:hyperlink r:id="rId77">
        <w:r>
          <w:rPr>
            <w:rStyle w:val="Hyperlink"/>
          </w:rPr>
          <w:t xml:space="preserve">https://doi.org/10.1890/02-0538</w:t>
        </w:r>
      </w:hyperlink>
    </w:p>
    <w:p>
      <w:pPr>
        <w:pStyle w:val="Bibliography"/>
      </w:pPr>
      <w:r>
        <w:t xml:space="preserve">Manion PD (1991) Tree Disease Concepts, 2nd ed, 402. Englewood Cliffs, NJ: Prentice-Hall.</w:t>
      </w:r>
    </w:p>
    <w:p>
      <w:pPr>
        <w:pStyle w:val="Bibliography"/>
      </w:pPr>
      <w:r>
        <w:t xml:space="preserve">McDowell N, Pockman WT, Allen CD, Breshears DD, Cobb N, Kolb T, Plaut J, Sperry J, West A, Williams DG, Yepez EA (2008) Mechanisms of plant survival and mortality during drought:</w:t>
      </w:r>
      <w:r>
        <w:t xml:space="preserve"> </w:t>
      </w:r>
      <w:r>
        <w:t xml:space="preserve">why do some plants survive while others succumb to drought?. New Phytol 178(4): 719-739.</w:t>
      </w:r>
      <w:r>
        <w:t xml:space="preserve"> </w:t>
      </w:r>
      <w:hyperlink r:id="rId78">
        <w:r>
          <w:rPr>
            <w:rStyle w:val="Hyperlink"/>
          </w:rPr>
          <w:t xml:space="preserve">https://doi.org/10.1111/j.1469-8137.2008.02436.x</w:t>
        </w:r>
      </w:hyperlink>
    </w:p>
    <w:p>
      <w:pPr>
        <w:pStyle w:val="Bibliography"/>
      </w:pPr>
      <w:r>
        <w:t xml:space="preserve">McNellis BE, Smith AM, Hudak AT, Strand EK (2021) Tree mortality in western US forests forecasted using forest inventory and Random Forest classification. Ecosphere 12(3):e03419.</w:t>
      </w:r>
      <w:r>
        <w:t xml:space="preserve"> </w:t>
      </w:r>
      <w:hyperlink r:id="rId79">
        <w:r>
          <w:rPr>
            <w:rStyle w:val="Hyperlink"/>
          </w:rPr>
          <w:t xml:space="preserve">https://doi.org/10.1002/ecs2.3419</w:t>
        </w:r>
      </w:hyperlink>
    </w:p>
    <w:p>
      <w:pPr>
        <w:pStyle w:val="Bibliography"/>
      </w:pPr>
      <w:r>
        <w:t xml:space="preserve">McRoberts RE (2005) The Enhanced Forest Inventory and Analysis Program, in: Bechtold WA, Patterson PL (Eds.), The Enhanced Forest Inventory and Analysis Program – National Sampling Design and Estimation Procedures. Gen Tech Rep US Dep Agric For Serv SRS-80.</w:t>
      </w:r>
    </w:p>
    <w:p>
      <w:pPr>
        <w:pStyle w:val="Bibliography"/>
      </w:pPr>
      <w:r>
        <w:t xml:space="preserve">Meddens AJ, Hicke JA, Ferguson CA (2012) Spatiotemporal patterns of observed bark beetle‐caused tree mortality in British Columbia and the western United States. Ecol Appl 22(7):1876-1891.</w:t>
      </w:r>
      <w:r>
        <w:t xml:space="preserve"> </w:t>
      </w:r>
      <w:hyperlink r:id="rId80">
        <w:r>
          <w:rPr>
            <w:rStyle w:val="Hyperlink"/>
          </w:rPr>
          <w:t xml:space="preserve">https://doi.org/10.1890/11-1785.1</w:t>
        </w:r>
      </w:hyperlink>
    </w:p>
    <w:p>
      <w:pPr>
        <w:pStyle w:val="Bibliography"/>
      </w:pPr>
      <w:r>
        <w:t xml:space="preserve">Merschel AG, Beedlow PA, Shaw DC, Woodruff DR, Lee EH, Cline SP, Comeleo RL, Hagmann RK, Reilly MJ (2021) An ecological perspective on living with fire in ponderosa pine forests of Oregon and Washington: Resistance, gone but not forgotten. Trees For People 4:100074.</w:t>
      </w:r>
      <w:r>
        <w:t xml:space="preserve"> </w:t>
      </w:r>
      <w:hyperlink r:id="rId81">
        <w:r>
          <w:rPr>
            <w:rStyle w:val="Hyperlink"/>
          </w:rPr>
          <w:t xml:space="preserve">https://doi.org/10.1016/j.tfp.2021.100074</w:t>
        </w:r>
      </w:hyperlink>
    </w:p>
    <w:p>
      <w:pPr>
        <w:pStyle w:val="Bibliography"/>
      </w:pPr>
      <w:r>
        <w:t xml:space="preserve">Monleon VJ, Lintz HE (2015) Evidence of tree species’ range shifts in a complex landscape. PLoS One 10(1):e0118069.</w:t>
      </w:r>
      <w:r>
        <w:t xml:space="preserve"> </w:t>
      </w:r>
      <w:hyperlink r:id="rId82">
        <w:r>
          <w:rPr>
            <w:rStyle w:val="Hyperlink"/>
          </w:rPr>
          <w:t xml:space="preserve">https://doi.org/10.1371/journal.pone.0118069</w:t>
        </w:r>
      </w:hyperlink>
      <w:r>
        <w:t xml:space="preserve"> </w:t>
      </w:r>
      <w:r>
        <w:t xml:space="preserve">Office of Environmental Health Hazard Assessment (2022) Indicators of climate change in California, fourth edition, California Environmental Protection Agency.</w:t>
      </w:r>
    </w:p>
    <w:p>
      <w:pPr>
        <w:pStyle w:val="Bibliography"/>
      </w:pPr>
      <w:r>
        <w:t xml:space="preserve">Ogana FN, Green PC, Radtke P (2025) Modeling the growth and yield of natural hardwood stands in the southern United States using the Forest Inventory and Analysis data. For Ecol Manag 586:122722.</w:t>
      </w:r>
      <w:r>
        <w:t xml:space="preserve"> </w:t>
      </w:r>
      <w:hyperlink r:id="rId83">
        <w:r>
          <w:rPr>
            <w:rStyle w:val="Hyperlink"/>
          </w:rPr>
          <w:t xml:space="preserve">https://doi.org/10.1016/j.foreco.2025.122722</w:t>
        </w:r>
      </w:hyperlink>
    </w:p>
    <w:p>
      <w:pPr>
        <w:pStyle w:val="Bibliography"/>
      </w:pPr>
      <w:r>
        <w:t xml:space="preserve">Parks SA, Dobrowski SZ, Shaw JD, Miller C (2019) Living on the edge: trailing edge forests at risk of fire‐facilitated conversion to non‐forest. Ecosphere 10(3):e02651.</w:t>
      </w:r>
      <w:r>
        <w:t xml:space="preserve"> </w:t>
      </w:r>
      <w:hyperlink r:id="rId84">
        <w:r>
          <w:rPr>
            <w:rStyle w:val="Hyperlink"/>
          </w:rPr>
          <w:t xml:space="preserve">https://doi.org/10.1002/ecs2.2651</w:t>
        </w:r>
      </w:hyperlink>
    </w:p>
    <w:p>
      <w:pPr>
        <w:pStyle w:val="Bibliography"/>
      </w:pPr>
      <w:r>
        <w:t xml:space="preserve">Perret DL, Bell DM, Gray AN, Shaw JD, Zald HS (2023) Range-wide population assessments for subalpine fir indicate widespread disturbance-driven decline. For Ecol Manag 542:121128.</w:t>
      </w:r>
      <w:r>
        <w:t xml:space="preserve"> </w:t>
      </w:r>
      <w:hyperlink r:id="rId85">
        <w:r>
          <w:rPr>
            <w:rStyle w:val="Hyperlink"/>
          </w:rPr>
          <w:t xml:space="preserve">https://doi.org/10.1016/j.foreco.2023.121128</w:t>
        </w:r>
      </w:hyperlink>
    </w:p>
    <w:p>
      <w:pPr>
        <w:pStyle w:val="Bibliography"/>
      </w:pPr>
      <w:r>
        <w:t xml:space="preserve">Preisler HK, Hicke JA, Ager AA, Hayes JL (2012) Climate and weather influences on spatial temporal patterns of mountain pine beetle populations in Washington and Oregon. Ecology 93(11):2421-2434.</w:t>
      </w:r>
      <w:r>
        <w:t xml:space="preserve"> </w:t>
      </w:r>
      <w:hyperlink r:id="rId86">
        <w:r>
          <w:rPr>
            <w:rStyle w:val="Hyperlink"/>
          </w:rPr>
          <w:t xml:space="preserve">https://doi.org/10.1890/11-1412.1</w:t>
        </w:r>
      </w:hyperlink>
    </w:p>
    <w:p>
      <w:pPr>
        <w:pStyle w:val="Bibliography"/>
      </w:pPr>
      <w:r>
        <w:t xml:space="preserve">Raymond C, Peterson D, Morgan H, Halofsky J (2023) A Climate Resilience Guide for Small Forest Landowners in Eastern Washington. A Collaboration of the University of Washington Climate Impacts Group, the U.S. Forest Service, and the Northwest Climate Hub. 31p. Online:</w:t>
      </w:r>
      <w:r>
        <w:t xml:space="preserve"> </w:t>
      </w:r>
      <w:hyperlink r:id="rId87">
        <w:r>
          <w:rPr>
            <w:rStyle w:val="Hyperlink"/>
          </w:rPr>
          <w:t xml:space="preserve">https://cig.uw.edu/wp-content/uploads/sites/2/2023/09/EastSFLOGuide-FinalEdits-091423.pdf</w:t>
        </w:r>
      </w:hyperlink>
      <w:r>
        <w:t xml:space="preserve">.</w:t>
      </w:r>
    </w:p>
    <w:p>
      <w:pPr>
        <w:pStyle w:val="Bibliography"/>
      </w:pPr>
      <w:r>
        <w:t xml:space="preserve">Reams GA, Smith WD, Hansen MH, Bechtold WA, Roesch FA, Moisen GG (2005) The forest inventory and analysis sampling frame, in: Bechtold WA, Patterson PL (Eds.), The Enhanced Forest Inventory and Analysis Program – National Sampling Design and Estimation Procedures. Gen Tech Rep US Dep Agric For Serv SRS-80.</w:t>
      </w:r>
    </w:p>
    <w:p>
      <w:pPr>
        <w:pStyle w:val="Bibliography"/>
      </w:pPr>
      <w:r>
        <w:t xml:space="preserve">Restaino CM, Peterson DL, Littell J (2016) Increased water deficit decreases Douglas fir growth throughout western US forests. Proc Natl Acad Sci 113(34):9557-9562.</w:t>
      </w:r>
      <w:r>
        <w:t xml:space="preserve"> </w:t>
      </w:r>
      <w:hyperlink r:id="rId88">
        <w:r>
          <w:rPr>
            <w:rStyle w:val="Hyperlink"/>
          </w:rPr>
          <w:t xml:space="preserve">https://doi.org/10.1073/pnas.1602384113</w:t>
        </w:r>
      </w:hyperlink>
    </w:p>
    <w:p>
      <w:pPr>
        <w:pStyle w:val="Bibliography"/>
      </w:pPr>
      <w:r>
        <w:t xml:space="preserve">Scott CT, Bechtold WA, Reams GA, Smith WD, Westfall JA, Hansen MH, Moisen GG (2005) Sample-based estimators used by the Forest Inventory and Analysis National Information Management System, in: Bechtold WA, Patterson PL (Eds.), The Enhanced Forest Inventory and Analysis Program – National Sampling Design and Estimation Procedures. Gen Tech Rep US Dep Agric For Serv SRS-80.</w:t>
      </w:r>
    </w:p>
    <w:p>
      <w:pPr>
        <w:pStyle w:val="Bibliography"/>
      </w:pPr>
      <w:r>
        <w:t xml:space="preserve">Shive KL, Wuenschel A, Hardlund LJ, Morris S, Meyer MD, Hood SM (2022) Ancient trees and modern wildfires: Declining resilience to wildfire in the highly fire-adapted giant sequoia. For Ecol Manag 511:120110.</w:t>
      </w:r>
      <w:r>
        <w:t xml:space="preserve"> </w:t>
      </w:r>
      <w:hyperlink r:id="rId89">
        <w:r>
          <w:rPr>
            <w:rStyle w:val="Hyperlink"/>
          </w:rPr>
          <w:t xml:space="preserve">https://doi.org/10.1016/j.foreco.2022.120110</w:t>
        </w:r>
      </w:hyperlink>
    </w:p>
    <w:p>
      <w:pPr>
        <w:pStyle w:val="Bibliography"/>
      </w:pPr>
      <w:r>
        <w:t xml:space="preserve">Shriver RK, Yackulic CB, Bell DM, Bradford JB (2022) Dry forest decline is driven by both declining recruitment and increasing mortality in response to warm, dry conditions. Glob Ecol Biogeogr 31:2259–2269.</w:t>
      </w:r>
      <w:r>
        <w:t xml:space="preserve"> </w:t>
      </w:r>
      <w:hyperlink r:id="rId90">
        <w:r>
          <w:rPr>
            <w:rStyle w:val="Hyperlink"/>
          </w:rPr>
          <w:t xml:space="preserve">https://doi.org/10.1111/geb.13582</w:t>
        </w:r>
      </w:hyperlink>
    </w:p>
    <w:p>
      <w:pPr>
        <w:pStyle w:val="Bibliography"/>
      </w:pPr>
      <w:r>
        <w:t xml:space="preserve">Soderberg DN, Das AJ, Stephenson NL, Meyer MD, Brigham CA, Flickinger J (2024) Assessing giant sequoia Mortality and regeneration following high-severity wildfire. Ecosphere 15(3): e4789.</w:t>
      </w:r>
      <w:r>
        <w:t xml:space="preserve"> </w:t>
      </w:r>
      <w:hyperlink r:id="rId91">
        <w:r>
          <w:rPr>
            <w:rStyle w:val="Hyperlink"/>
          </w:rPr>
          <w:t xml:space="preserve">https://doi.org/10.1002/ecs2.4789</w:t>
        </w:r>
      </w:hyperlink>
    </w:p>
    <w:p>
      <w:pPr>
        <w:pStyle w:val="Bibliography"/>
      </w:pPr>
      <w:r>
        <w:t xml:space="preserve">Stanke H, Finley AO, Domke GM, Weed AS, MacFarlane DW (2021) Over half of western United States’ most abundant tree species in decline. Nat Commun 12:451.</w:t>
      </w:r>
      <w:r>
        <w:t xml:space="preserve"> </w:t>
      </w:r>
      <w:hyperlink r:id="rId92">
        <w:r>
          <w:rPr>
            <w:rStyle w:val="Hyperlink"/>
          </w:rPr>
          <w:t xml:space="preserve">https://doi.org/10.1038/s41467-020-20678-z</w:t>
        </w:r>
      </w:hyperlink>
      <w:r>
        <w:t xml:space="preserve">.</w:t>
      </w:r>
    </w:p>
    <w:p>
      <w:pPr>
        <w:pStyle w:val="Bibliography"/>
      </w:pPr>
      <w:r>
        <w:t xml:space="preserve">Stephenson NL, Brigham C (2021) Preliminary estimates of sequoia mortality in the 2020 Castle Fire. National Park Service, Sequoia and Kings Canyon National Parks.</w:t>
      </w:r>
    </w:p>
    <w:p>
      <w:pPr>
        <w:pStyle w:val="Bibliography"/>
      </w:pPr>
      <w:r>
        <w:t xml:space="preserve">Stephenson NL (1998) Actual evapotranspiration and deficit: biologically meaningful correlates of vegetation distribution across spatial scales. J Biogeogr 25(5):855-870.</w:t>
      </w:r>
      <w:r>
        <w:t xml:space="preserve"> </w:t>
      </w:r>
      <w:hyperlink r:id="rId93">
        <w:r>
          <w:rPr>
            <w:rStyle w:val="Hyperlink"/>
          </w:rPr>
          <w:t xml:space="preserve">https://doi.org/10.1046/j.1365-2699.1998.00233.x</w:t>
        </w:r>
      </w:hyperlink>
    </w:p>
    <w:p>
      <w:pPr>
        <w:pStyle w:val="Bibliography"/>
      </w:pPr>
      <w:r>
        <w:t xml:space="preserve">Stephenson NL (1990) Climatic control of vegetation distribution: the role of the water balance. Am Nat 135(5):649-670.</w:t>
      </w:r>
      <w:r>
        <w:t xml:space="preserve"> </w:t>
      </w:r>
      <w:hyperlink r:id="rId94">
        <w:r>
          <w:rPr>
            <w:rStyle w:val="Hyperlink"/>
          </w:rPr>
          <w:t xml:space="preserve">https://doi.org/10.1086/285067</w:t>
        </w:r>
      </w:hyperlink>
    </w:p>
    <w:p>
      <w:pPr>
        <w:pStyle w:val="Bibliography"/>
      </w:pPr>
      <w:r>
        <w:t xml:space="preserve">Stephenson NL, Das AJ (2020) Height-related changes in forest composition explain increasing tree mortality with height during an extreme drought. Nat Commun 11:3402.</w:t>
      </w:r>
      <w:r>
        <w:t xml:space="preserve"> </w:t>
      </w:r>
      <w:hyperlink r:id="rId95">
        <w:r>
          <w:rPr>
            <w:rStyle w:val="Hyperlink"/>
          </w:rPr>
          <w:t xml:space="preserve">https://doi.org/10.1038/s41467-020-17213-5</w:t>
        </w:r>
      </w:hyperlink>
    </w:p>
    <w:p>
      <w:pPr>
        <w:pStyle w:val="Bibliography"/>
      </w:pPr>
      <w:r>
        <w:t xml:space="preserve">Sala A, Piper F, Hoch G (2010) Physiological mechanisms of drought-induced tree mortality are far from being resolved. The New Phytol 186(2):274-281.</w:t>
      </w:r>
      <w:r>
        <w:t xml:space="preserve"> </w:t>
      </w:r>
      <w:hyperlink r:id="rId96">
        <w:r>
          <w:rPr>
            <w:rStyle w:val="Hyperlink"/>
          </w:rPr>
          <w:t xml:space="preserve">https://doi.org/10.1111/j.1469-8137.2009.03167.x</w:t>
        </w:r>
      </w:hyperlink>
    </w:p>
    <w:p>
      <w:pPr>
        <w:pStyle w:val="Bibliography"/>
      </w:pPr>
      <w:r>
        <w:t xml:space="preserve">Sala A, Woodruff DR, Meinzer FC (2012) Carbon dynamics in trees: feast or famine? Tree Physiol, 32(6):764-775.</w:t>
      </w:r>
      <w:r>
        <w:t xml:space="preserve"> </w:t>
      </w:r>
      <w:hyperlink r:id="rId97">
        <w:r>
          <w:rPr>
            <w:rStyle w:val="Hyperlink"/>
          </w:rPr>
          <w:t xml:space="preserve">https://doi.org/10.1093/treephys/tpr143</w:t>
        </w:r>
      </w:hyperlink>
    </w:p>
    <w:p>
      <w:pPr>
        <w:pStyle w:val="Bibliography"/>
      </w:pPr>
      <w:r>
        <w:t xml:space="preserve">Stovall AE, Shugart H, Yang X (2019) Tree height explains mortality risk during an intense drought. Nat Commun 10:4385.</w:t>
      </w:r>
      <w:r>
        <w:t xml:space="preserve"> </w:t>
      </w:r>
      <w:hyperlink r:id="rId98">
        <w:r>
          <w:rPr>
            <w:rStyle w:val="Hyperlink"/>
          </w:rPr>
          <w:t xml:space="preserve">https://doi.org/10.1038/s41467-019-12380-6</w:t>
        </w:r>
      </w:hyperlink>
    </w:p>
    <w:p>
      <w:pPr>
        <w:pStyle w:val="Bibliography"/>
      </w:pPr>
      <w:r>
        <w:t xml:space="preserve">Thompson J (2015) PNW-FIADB Users Manual: A data dictionary and user guide for the PNW-FIADB database. Forest Inventory and Analysis, Pacific Northwest Research Station, Portland, Oregon.</w:t>
      </w:r>
    </w:p>
    <w:p>
      <w:pPr>
        <w:pStyle w:val="Bibliography"/>
      </w:pPr>
      <w:r>
        <w:t xml:space="preserve">Van Mantgem PJ, Stephenson NL, Byrne JC, Daniels LD, Franklin JF, Fulé PZ, Harmon ME, Larson AJ, Smith JM, Taylor AH, Veblen TT (2009) Widespread increase of tree mortality rates in the western United States. Science 323(5913):521-524.</w:t>
      </w:r>
      <w:r>
        <w:t xml:space="preserve"> </w:t>
      </w:r>
      <w:hyperlink r:id="rId99">
        <w:r>
          <w:rPr>
            <w:rStyle w:val="Hyperlink"/>
          </w:rPr>
          <w:t xml:space="preserve">https://doi.org/10.1126/science.1165000</w:t>
        </w:r>
      </w:hyperlink>
    </w:p>
    <w:p>
      <w:pPr>
        <w:pStyle w:val="Bibliography"/>
      </w:pPr>
      <w:r>
        <w:t xml:space="preserve">Van Nieuwstadt MG, Sheil D (2005) Drought, fire and tree survival in a Borneo rain forest, East Kalimantan, Indonesia. J Ecol 93(1):191-201.</w:t>
      </w:r>
      <w:r>
        <w:t xml:space="preserve"> </w:t>
      </w:r>
      <w:hyperlink r:id="rId100">
        <w:r>
          <w:rPr>
            <w:rStyle w:val="Hyperlink"/>
          </w:rPr>
          <w:t xml:space="preserve">https://doi.org/10.1111/j.1365-2745.2004.00954.x</w:t>
        </w:r>
      </w:hyperlink>
    </w:p>
    <w:p>
      <w:pPr>
        <w:pStyle w:val="Bibliography"/>
      </w:pPr>
      <w:r>
        <w:t xml:space="preserve">Vickers LA, Goff TC (2025) White oak sapling dynamics across the eastern US: Quantifying a bottleneck to sustainability. For Ecol Manag 598:123232.</w:t>
      </w:r>
      <w:r>
        <w:t xml:space="preserve"> </w:t>
      </w:r>
      <w:hyperlink r:id="rId101">
        <w:r>
          <w:rPr>
            <w:rStyle w:val="Hyperlink"/>
          </w:rPr>
          <w:t xml:space="preserve">https://doi.org/10.1016/j.foreco.2025.123232</w:t>
        </w:r>
      </w:hyperlink>
    </w:p>
    <w:p>
      <w:pPr>
        <w:pStyle w:val="Bibliography"/>
      </w:pPr>
      <w:r>
        <w:t xml:space="preserve">Washington State Department of Natural Resources (WADNR) Forest Reliance Division (2024) Forest health highlights in Washington: A summary of insect, disease, and other disturbance conditions affecting Washington’s forests. Washington State Department of Natural Resources, Forest Resilience Division, Olympia, WA.</w:t>
      </w:r>
      <w:r>
        <w:t xml:space="preserve"> </w:t>
      </w:r>
      <w:hyperlink r:id="rId102">
        <w:r>
          <w:rPr>
            <w:rStyle w:val="Hyperlink"/>
          </w:rPr>
          <w:t xml:space="preserve">https://dnr.wa.gov/sites/default/files/2025-03/rp_2023_fhh_report_final_wr.pdf</w:t>
        </w:r>
      </w:hyperlink>
      <w:r>
        <w:t xml:space="preserve">, accessed 9/18/2025.</w:t>
      </w:r>
    </w:p>
    <w:p>
      <w:pPr>
        <w:pStyle w:val="Bibliography"/>
      </w:pPr>
      <w:r>
        <w:t xml:space="preserve">Westerling ALR 2016 Increasing western US forest wildfire activity: sensitivity to changes in the timing of spring. Phil Trans R Soc B 371:20150178.</w:t>
      </w:r>
      <w:r>
        <w:t xml:space="preserve"> </w:t>
      </w:r>
      <w:hyperlink r:id="rId103">
        <w:r>
          <w:rPr>
            <w:rStyle w:val="Hyperlink"/>
          </w:rPr>
          <w:t xml:space="preserve">https://doi.org/10.1098/rstb.2015.0178</w:t>
        </w:r>
      </w:hyperlink>
    </w:p>
    <w:p>
      <w:pPr>
        <w:pStyle w:val="Bibliography"/>
      </w:pPr>
      <w:r>
        <w:t xml:space="preserve">Woudenberg SW, Conkling BL, O’Connell BM, LaPoint EB, Turner JA, Waddell KL (2010) The Forest Inventory and Analysis Database: Database description and users manual version 4.0 for Phase 2. Gen Tech Rep RMRS-GTR-245. Fort Collins, CO: US Department of Agriculture, Forest Service, Rocky Mountain Research Station.</w:t>
      </w:r>
    </w:p>
    <w:bookmarkEnd w:id="104"/>
    <w:p>
      <w:pPr>
        <w:sectPr>
          <w:pgMar w:header="708" w:bottom="1417" w:top="1417" w:right="1417" w:left="1417" w:footer="708" w:gutter="0"/>
          <w:pgSz w:h="16838" w:w="11906" w:orient="portrait"/>
          <w:type w:val="continuous"/>
          <w:cols/>
        </w:sectPr>
      </w:pPr>
    </w:p>
    <w:p xmlns:w14="http://schemas.microsoft.com/office/word/2010/wordml">
      <w:pPr>
        <w:pStyle w:val="TableCaption"/>
        <w:jc w:val="center"/>
        <w:keepNext/>
      </w:pPr>
      <w:r>
        <w:t xml:space="preserve">Table 1: Decadal growth estimates by state and overall for analysis species (cm²/decade). Mean estimates with confidence intervals and plot number are provided. Estimates are not made for states with fewer than 10 plots. Ecological category abbreviations (Category) are provided in the text.</w:t>
      </w:r>
    </w:p>
    <w:tbl xmlns:w14="http://schemas.microsoft.com/office/word/2010/wordml">
      <w:tblPr>
        <w:tblLayout w:type="autofit"/>
        <w:jc w:val="center"/>
        <w:tblW w:type="pct" w:w="0"/>
        <w:tblLook w:firstRow="1" w:lastRow="0" w:firstColumn="0" w:lastColumn="0" w:noHBand="0" w:noVBand="1"/>
      </w:tblPr>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Species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California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Oregon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Washington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All</w:t>
            </w:r>
          </w:p>
        </w:tc>
      </w:tr>
      <w:tr>
        <w:trPr>
          <w:trHeight w:val="360" w:hRule="auto"/>
        </w:trPr>
        body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amabilis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87.6 (77.7, 99.2;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116.9 (109.7, 124.5; 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110.8 (104.9, 117.2; 770)</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concolor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190.4 (183.9, 197.7; 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170.9 (161.0, 181.7;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185.9 (180.1, 192.2; 1580)</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grandis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326.7 (272.6, 437.7;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192.1 (176.9, 213.1; 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170.8 (155.5, 188.3; 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187.1 (175.7, 200.4; 1042)</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lasiocarpa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69.5 (60.4, 79.2;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70.0 (59.7, 80.4; 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69.7 (60.9, 78.5; 470)</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Juniperus occidentalis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74.4 (65.1, 84.1;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68.6 (61.6, 76.8;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71.2 (65.2, 77.4; 799)</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Larix occidentalis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115.9 (101.2, 131.0; 248)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103.0 (89.5, 114.7;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106.5 (96.5, 116.0; 625)</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Calocedrus decurrens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135.2 (126.3, 144.4; 836)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165.7 (147.0, 185.3;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140.7 (133.2, 149.2; 1137)</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Picea engelmannii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172.5 (153.8, 192.1;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127.4 (114.1, 142.0; 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140.6 (129.4, 152.6; 429)</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contorta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83.6 (76.9, 90.5;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68.6 (62.9, 74.6; 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57.8 (51.8, 64.0; 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69.7 (66.0, 73.7; 1337)</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jeffreyi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150.9 (137.8, 165.6; 648)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149.9 (80.9, 243.7;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150.8 (138.5, 163.7; 663)</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lambertiana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259.9 (240.1, 281.0; 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223.9 (195.0, 254.7;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254.0 (234.0, 274.1; 848)</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116.6 (105.9, 127.1;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115.7 (93.2, 140.0;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173.3 (148.3, 200.6;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125.4 (115.6, 135.5; 438)</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ponderosa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195.3 (183.2, 208.3; 1126)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154.6 (148.6, 160.6; 1475)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179.2 (167.9, 190.9; 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171.9 (166.6, 177.6; 3272)</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Pseudotsuga menziesii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226.9 (217.7, 236.6; 1428)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244.6 (236.9, 251.3; 2606)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217.5 (210.0, 225.5; 2204)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231.2 (226.4, 235.8; 6238)</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Thuja plicata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226.9 (195.3, 263.6; 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198.1 (177.9, 218.1; 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204.1 (188.1, 221.1; 1067)</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Tsuga heterophylla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239.5 (163.0, 326.1;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185.1 (175.7, 195.0; 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157.2 (149.9, 164.8; 1190)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165.4 (159.4, 171.3; 1994)</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Tsuga mertensiana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71.8 (62.9, 82.6;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65.6 (58.5, 72.8;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75.9 (68.6, 82.7;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70.4 (65.9, 74.7; 536)</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Acer macrophyllum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RMH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52.9 (32.6, 71.5;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138.7 (121.7, 155.5; 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196.4 (174.3, 219.5; 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146.8 (135.3, 160.2; 773)</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Alnus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RMH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141.1 (118.9, 165.2;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138.0 (119.4, 152.6; 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149.4 (139.9, 159.1; 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144.8 (135.6, 153.3; 1114)</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Arbutus menziesii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76.0 (69.4, 83.1; 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61.1 (54.6, 67.8; 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70.8 (26.1, 138.7;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68.8 (64.0, 73.8; 690)</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Notholithocarpus densiflorus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78.7 (74.5, 83.3;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57.0 (49.8, 64.2;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75.0 (71.0, 79.2; 564)</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Quercus chrysolepis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40.9 (37.5, 44.3; 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35.7 (28.9, 44.0;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40.7 (37.4, 43.9; 775)</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Quercus kelloggii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64.4 (59.0, 70.1; 762)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45.1 (37.9, 54.0;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62.6 (58.1, 67.4; 851)</w:t>
            </w:r>
          </w:p>
        </w:tc>
      </w:tr>
    </w:tbl>
    <w:p xmlns:w14="http://schemas.microsoft.com/office/word/2010/wordml">
      <w:pPr>
        <w:pStyle w:val="TableCaption"/>
        <w:jc w:val="center"/>
        <w:keepNext/>
      </w:pPr>
      <w:r>
        <w:t xml:space="preserve">Table 2: Decadal mortality estimates by state and overall for analysis species. Mean estimates with confidence intervals and plot number are provided. Estimates are not made for states with fewer than 10 plots. Ecological category abbreviations (Category) are provided in the text.</w:t>
      </w:r>
    </w:p>
    <w:tbl xmlns:w14="http://schemas.microsoft.com/office/word/2010/wordml">
      <w:tblPr>
        <w:tblLayout w:type="autofit"/>
        <w:jc w:val="center"/>
        <w:tblW w:type="pct" w:w="0"/>
        <w:tblLook w:firstRow="1" w:lastRow="0" w:firstColumn="0" w:lastColumn="0" w:noHBand="0" w:noVBand="1"/>
      </w:tblPr>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Species Name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Category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California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Oregon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Washington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0"/>
                <w:szCs w:val="20"/>
                <w:color w:val="000000"/>
              </w:rPr>
            </w:pPr>
            <w:r>
              <w:rPr>
                <w:rFonts w:ascii="Times New Roman" w:hAnsi="Arial" w:eastAsia="Arial" w:cs="Arial"/>
                <w:i w:val="false"/>
                <w:b w:val="true"/>
                <w:u w:val="none"/>
                <w:sz w:val="20"/>
                <w:szCs w:val="20"/>
                <w:color w:val="000000"/>
              </w:rPr>
              <w:t xml:space="preserve">All</w:t>
            </w:r>
          </w:p>
        </w:tc>
      </w:tr>
      <w:tr>
        <w:trPr>
          <w:trHeight w:val="360" w:hRule="auto"/>
        </w:trPr>
        body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amabilis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0.17 (0.11, 0.24;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0.12 (0.10, 0.14; 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0.13 (0.11, 0.15; 798)</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concolor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0.22 (0.19, 0.24; 1307)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0.14 (0.11, 0.18; 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0.20 (0.18, 0.22; 1723)</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grandis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0.11 (0.01, 0.31;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0.14 (0.12, 0.18; 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0.25 (0.20, 0.30; 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0.18 (0.16, 0.21; 1129)</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Abies lasiocarpa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0.25 (0.20, 0.32;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0.22 (0.15, 0.29; 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0.23 (0.17, 0.29; 539)</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Juniperus occidentalis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0.03 (0.02, 0.04;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0.05 (0.03, 0.07; 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0.04 (0.03, 0.05; 827)</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Larix occidentalis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0.07 (0.05, 0.10; 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0.13 (0.10, 0.16; 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0.12 (0.09, 0.14; 662)</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Calocedrus decurrens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0.17 (0.14, 0.19; 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0.06 (0.03, 0.10; 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0.15 (0.13, 0.17; 1223)</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Picea engelmannii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0.07 (0.05, 0.10;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0.35 (0.25, 0.45; 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0.28 (0.21, 0.37; 488)</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contorta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0.07 (0.06, 0.09; 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0.17 (0.15, 0.20; 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0.37 (0.32, 0.44;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0.21 (0.19, 0.24; 1440)</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jeffreyi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0.08 (0.06, 0.11; 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0.04 (0.00, 0.10;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0.08 (0.06, 0.11; 695)</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lambertiana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0.21 (0.18, 0.24; 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0.14 (0.09, 0.19;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0.20 (0.17, 0.23; 964)</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monticola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0.17 (0.12, 0.22; 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0.21 (0.15, 0.29;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0.26 (0.17, 0.34;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0.19 (0.16, 0.23; 477)</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Pinus ponderosa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0.17 (0.14, 0.19; 1236)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0.10 (0.08, 0.11; 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0.13 (0.10, 0.16; 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0.13 (0.11, 0.14; 3480)</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Pseudotsuga menziesii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FAC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0.11 (0.10, 0.13; 1489)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0.09 (0.08, 0.09; 2659)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0.12 (0.11, 0.13; 2277)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0.10 (0.10, 0.11; 6425)</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Thuja plicata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0.04 (0.02, 0.05; 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0.04 (0.03, 0.05; 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0.04 (0.03, 0.04; 1081)</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Tsuga heterophylla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STC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0.09 (0.03, 0.15;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0.09 (0.08, 0.11; 792)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0.09 (0.08, 0.10; 1221)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0.09 (0.09, 0.10; 2049)</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Tsuga mertensiana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HEC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0.06 (0.03, 0.09;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0.14 (0.10, 0.18; 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0.09 (0.05, 0.13;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0.11 (0.09, 0.13; 562)</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Acer macrophyllum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RMH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0.27 (0.19, 0.36;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0.09 (0.07, 0.11; 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0.10 (0.08, 0.13; 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0.13 (0.11, 0.16; 825)</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Alnus rubra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RMH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0.24 (0.19, 0.30;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0.22 (0.20, 0.26; 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0.20 (0.18, 0.22; 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0.21 (0.19, 0.23; 1206)</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Arbutus menziesii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0.16 (0.13, 0.20;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0.15 (0.11, 0.20;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0.17 (0.05, 0.32;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0.16 (0.13, 0.19; 759)</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Notholithocarpus densiflorus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0.14 (0.12, 0.16;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0.17 (0.11, 0.24;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0.14 (0.12, 0.16; 594)</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Quercus chrysolepis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0.20 (0.14, 0.27; 751)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0.10 (0.04, 0.18;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0.20 (0.14, 0.26; 840)</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true"/>
                <w:b w:val="false"/>
                <w:u w:val="none"/>
                <w:sz w:val="18"/>
                <w:szCs w:val="18"/>
                <w:color w:val="000000"/>
              </w:rPr>
            </w:pPr>
            <w:r>
              <w:rPr>
                <w:rFonts w:ascii="Times New Roman" w:hAnsi="Arial" w:eastAsia="Arial" w:cs="Arial"/>
                <w:i w:val="true"/>
                <w:b w:val="false"/>
                <w:u w:val="none"/>
                <w:sz w:val="18"/>
                <w:szCs w:val="18"/>
                <w:color w:val="000000"/>
              </w:rPr>
              <w:t xml:space="preserve">Quercus kelloggii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DTH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0.19 (0.16, 0.23; 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0.11 (0.07, 0.15; 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18"/>
                <w:szCs w:val="18"/>
                <w:color w:val="000000"/>
              </w:rPr>
            </w:pPr>
            <w:r>
              <w:rPr>
                <w:rFonts w:ascii="Times New Roman" w:hAnsi="Arial" w:eastAsia="Arial" w:cs="Arial"/>
                <w:i w:val="false"/>
                <w:b w:val="false"/>
                <w:u w:val="none"/>
                <w:sz w:val="18"/>
                <w:szCs w:val="18"/>
                <w:color w:val="000000"/>
              </w:rPr>
              <w:t xml:space="preserve">0.18 (0.16, 0.22; 951)</w:t>
            </w:r>
          </w:p>
        </w:tc>
      </w:tr>
    </w:tbl>
    <w:p>
      <w:pPr>
        <w:sectPr>
          <w:pgMar w:header="708" w:bottom="1417" w:top="1417" w:right="1417" w:left="1417" w:footer="708" w:gutter="0"/>
          <w:pgSz w:h="11906" w:w="16838" w:orient="landscape"/>
          <w:type w:val="oddPage"/>
          <w:cols/>
        </w:sectPr>
      </w:pPr>
    </w:p>
    <w:p xmlns:w14="http://schemas.microsoft.com/office/word/2010/wordml">
      <w:pPr>
        <w:pStyle w:val="TableCaption"/>
        <w:jc w:val="center"/>
        <w:keepNext/>
      </w:pPr>
      <w:r>
        <w:t xml:space="preserve">Table 3: Summary of number of contrasts with 95% CIs that do not overlap with zero ([T]otal, [P]ositive-, and [N]egative-valued estimates) for Figures 4 and 5 by analysis (T)ype (Growth or Mortality) and type of (C)omparison.  The column Domains lists the domains compared; All is the sum of values within a Comparison. See text for other domain labels.  'n' is the total number of differences examined within a Comparison.</w:t>
      </w:r>
    </w:p>
    <w:tbl xmlns:w14="http://schemas.microsoft.com/office/word/2010/wordml">
      <w:tblPr>
        <w:tblLayout w:type="autofit"/>
        <w:jc w:val="center"/>
        <w:tblW w:type="pct" w:w="0"/>
        <w:tblLook w:firstRow="1" w:lastRow="0" w:firstColumn="0" w:lastColumn="0" w:noHBand="0" w:noVBand="1"/>
      </w:tblPr>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2"/>
                <w:szCs w:val="22"/>
                <w:color w:val="000000"/>
              </w:rPr>
            </w:pPr>
            <w:r>
              <w:rPr>
                <w:rFonts w:ascii="Times New Roman" w:hAnsi="Arial" w:eastAsia="Arial" w:cs="Arial"/>
                <w:i w:val="false"/>
                <w:b w:val="true"/>
                <w:u w:val="none"/>
                <w:sz w:val="22"/>
                <w:szCs w:val="22"/>
                <w:color w:val="000000"/>
              </w:rPr>
              <w:t xml:space="preserve">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2"/>
                <w:szCs w:val="22"/>
                <w:color w:val="000000"/>
              </w:rPr>
            </w:pPr>
            <w:r>
              <w:rPr>
                <w:rFonts w:ascii="Times New Roman" w:hAnsi="Arial" w:eastAsia="Arial" w:cs="Arial"/>
                <w:i w:val="false"/>
                <w:b w:val="true"/>
                <w:u w:val="none"/>
                <w:sz w:val="22"/>
                <w:szCs w:val="22"/>
                <w:color w:val="000000"/>
              </w:rPr>
              <w:t xml:space="preserve">Comparison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2"/>
                <w:szCs w:val="22"/>
                <w:color w:val="000000"/>
              </w:rPr>
            </w:pPr>
            <w:r>
              <w:rPr>
                <w:rFonts w:ascii="Times New Roman" w:hAnsi="Arial" w:eastAsia="Arial" w:cs="Arial"/>
                <w:i w:val="false"/>
                <w:b w:val="true"/>
                <w:u w:val="none"/>
                <w:sz w:val="22"/>
                <w:szCs w:val="22"/>
                <w:color w:val="000000"/>
              </w:rPr>
              <w:t xml:space="preserve">Domain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2"/>
                <w:szCs w:val="22"/>
                <w:color w:val="000000"/>
              </w:rPr>
            </w:pPr>
            <w:r>
              <w:rPr>
                <w:rFonts w:ascii="Times New Roman" w:hAnsi="Arial" w:eastAsia="Arial" w:cs="Arial"/>
                <w:i w:val="false"/>
                <w:b w:val="true"/>
                <w:u w:val="none"/>
                <w:sz w:val="22"/>
                <w:szCs w:val="22"/>
                <w:color w:val="000000"/>
              </w:rPr>
              <w:t xml:space="preserve">Total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2"/>
                <w:szCs w:val="22"/>
                <w:color w:val="000000"/>
              </w:rPr>
            </w:pPr>
            <w:r>
              <w:rPr>
                <w:rFonts w:ascii="Times New Roman" w:hAnsi="Arial" w:eastAsia="Arial" w:cs="Arial"/>
                <w:i w:val="false"/>
                <w:b w:val="true"/>
                <w:u w:val="non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2"/>
                <w:szCs w:val="22"/>
                <w:color w:val="000000"/>
              </w:rPr>
            </w:pPr>
            <w:r>
              <w:rPr>
                <w:rFonts w:ascii="Times New Roman" w:hAnsi="Arial" w:eastAsia="Arial" w:cs="Arial"/>
                <w:i w:val="false"/>
                <w:b w:val="true"/>
                <w:u w:val="non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Arial" w:eastAsia="Arial" w:cs="Arial"/>
                <w:i w:val="false"/>
                <w:b w:val="true"/>
                <w:u w:val="none"/>
                <w:sz w:val="22"/>
                <w:szCs w:val="22"/>
                <w:color w:val="000000"/>
              </w:rPr>
            </w:pPr>
            <w:r>
              <w:rPr>
                <w:rFonts w:ascii="Times New Roman" w:hAnsi="Arial" w:eastAsia="Arial" w:cs="Arial"/>
                <w:i w:val="false"/>
                <w:b w:val="true"/>
                <w:u w:val="none"/>
                <w:sz w:val="22"/>
                <w:szCs w:val="22"/>
                <w:color w:val="000000"/>
              </w:rPr>
              <w:t xml:space="preserve">n</w:t>
            </w:r>
          </w:p>
        </w:tc>
      </w:tr>
      <w:tr>
        <w:trPr>
          <w:trHeight w:val="360" w:hRule="auto"/>
        </w:trPr>
        body 1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68</w:t>
            </w:r>
          </w:p>
        </w:tc>
      </w:tr>
      <w:tr>
        <w:trPr>
          <w:trHeight w:val="360" w:hRule="auto"/>
        </w:trPr>
        body 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IL - 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 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IM -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 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IH - 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 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67</w:t>
            </w:r>
          </w:p>
        </w:tc>
      </w:tr>
      <w:tr>
        <w:trPr>
          <w:trHeight w:val="360" w:hRule="auto"/>
        </w:trPr>
        body 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IH - 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 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IH - 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 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IM - 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 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69</w:t>
            </w:r>
          </w:p>
        </w:tc>
      </w:tr>
      <w:tr>
        <w:trPr>
          <w:trHeight w:val="360" w:hRule="auto"/>
        </w:trPr>
        body10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SH - 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body11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SH -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body12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SM - 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body13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Mortality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68</w:t>
            </w:r>
          </w:p>
        </w:tc>
      </w:tr>
      <w:tr>
        <w:trPr>
          <w:trHeight w:val="360" w:hRule="auto"/>
        </w:trPr>
        body14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IL - 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body15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IM -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body16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 vs. 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IH - 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body17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67</w:t>
            </w:r>
          </w:p>
        </w:tc>
      </w:tr>
      <w:tr>
        <w:trPr>
          <w:trHeight w:val="360" w:hRule="auto"/>
        </w:trPr>
        body18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IH - 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body19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IH - 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body20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IM - 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body21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All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69</w:t>
            </w:r>
          </w:p>
        </w:tc>
      </w:tr>
      <w:tr>
        <w:trPr>
          <w:trHeight w:val="360" w:hRule="auto"/>
        </w:trPr>
        body22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SH - 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body23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SH - 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r>
        <w:trPr>
          <w:trHeight w:val="360" w:hRule="auto"/>
        </w:trPr>
        body24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SM - SL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120"/>
              <w:ind w:left="100" w:right="100" w:firstLine="0" w:firstLineChars="0"/>
              <w:rPr>
                <w:rFonts w:ascii="Times New Roman" w:hAnsi="Arial" w:eastAsia="Arial" w:cs="Arial"/>
                <w:i w:val="false"/>
                <w:b w:val="false"/>
                <w:u w:val="none"/>
                <w:sz w:val="22"/>
                <w:szCs w:val="22"/>
                <w:color w:val="000000"/>
              </w:rPr>
            </w:pPr>
            <w:r>
              <w:rPr>
                <w:rFonts w:ascii="Times New Roman" w:hAnsi="Arial" w:eastAsia="Arial" w:cs="Arial"/>
                <w:i w:val="false"/>
                <w:b w:val="false"/>
                <w:u w:val="none"/>
                <w:sz w:val="22"/>
                <w:szCs w:val="22"/>
                <w:color w:val="000000"/>
              </w:rPr>
              <w:t xml:space="preserve"/>
            </w:r>
          </w:p>
        </w:tc>
      </w:tr>
    </w:tbl>
    <w:bookmarkEnd w:id="105"/>
    <w:sectPr w:rsidR="009B114F" w:rsidSect="0089780E">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5582938"/>
      <w:docPartObj>
        <w:docPartGallery w:val="Page Numbers (Bottom of Page)"/>
        <w:docPartUnique/>
      </w:docPartObj>
    </w:sdtPr>
    <w:sdtContent>
      <w:p w14:paraId="3EBD1AAD" w14:textId="58F6AE22" w:rsidR="00BC175F" w:rsidRDefault="00BC175F" w:rsidP="00BC175F">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5DCBCFD6" w14:textId="77777777" w:rsidR="00BC175F" w:rsidRDefault="00BC175F" w:rsidP="00BC175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843EA2A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44C115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9ABA7BA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2DC3CD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F3E6527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65DAF9F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1C60DEE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5C02260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D8B4EBB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6530769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0E29FC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47483262" w:numId="1">
    <w:abstractNumId w:val="10"/>
  </w:num>
  <w:num w16cid:durableId="2071079425" w:numId="2">
    <w:abstractNumId w:val="9"/>
  </w:num>
  <w:num w16cid:durableId="2120755585" w:numId="3">
    <w:abstractNumId w:val="7"/>
  </w:num>
  <w:num w16cid:durableId="32272440" w:numId="4">
    <w:abstractNumId w:val="6"/>
  </w:num>
  <w:num w16cid:durableId="553195888" w:numId="5">
    <w:abstractNumId w:val="5"/>
  </w:num>
  <w:num w16cid:durableId="405225120" w:numId="6">
    <w:abstractNumId w:val="4"/>
  </w:num>
  <w:num w16cid:durableId="419373260" w:numId="7">
    <w:abstractNumId w:val="8"/>
  </w:num>
  <w:num w16cid:durableId="1436828534" w:numId="8">
    <w:abstractNumId w:val="3"/>
  </w:num>
  <w:num w16cid:durableId="461770060" w:numId="9">
    <w:abstractNumId w:val="2"/>
  </w:num>
  <w:num w16cid:durableId="587349724" w:numId="10">
    <w:abstractNumId w:val="1"/>
  </w:num>
  <w:num w16cid:durableId="1867980893" w:numId="11">
    <w:abstractNumId w:val="0"/>
  </w:num>
  <w:num w:numId="1000">
    <w:abstractNumId w:val="990"/>
  </w:num>
</w:numbering>
</file>

<file path=word/settings.xml><?xml version="1.0" encoding="utf-8"?>
<w:settings xmlns:w="http://schemas.openxmlformats.org/wordprocessingml/2006/main">
  <w:zoom w:percent="12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rsid w:val="00BC175F"/>
    <w:pPr>
      <w:keepNext/>
      <w:keepLines/>
      <w:spacing w:after="0" w:before="200"/>
      <w:outlineLvl w:val="1"/>
    </w:pPr>
    <w:rPr>
      <w:rFonts w:ascii="Times New Roman" w:cs="Times New Roman" w:eastAsiaTheme="majorEastAsia" w:hAnsi="Times New Roman"/>
      <w:b/>
      <w:bCs/>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22C21"/>
    <w:pPr>
      <w:spacing w:after="180" w:before="180" w:line="480" w:lineRule="auto"/>
    </w:pPr>
    <w:rPr>
      <w:rFonts w:ascii="Times New Roman" w:cs="Times New Roman" w:hAnsi="Times New Roman"/>
    </w:rPr>
  </w:style>
  <w:style w:customStyle="1" w:styleId="FirstParagraph" w:type="paragraph">
    <w:name w:val="First Paragraph"/>
    <w:basedOn w:val="BodyText"/>
    <w:next w:val="BodyText"/>
    <w:qFormat/>
    <w:rsid w:val="00E22C21"/>
  </w:style>
  <w:style w:customStyle="1" w:styleId="Compact" w:type="paragraph">
    <w:name w:val="Compact"/>
    <w:basedOn w:val="BodyText"/>
    <w:qFormat/>
    <w:pPr>
      <w:spacing w:after="36" w:before="36"/>
    </w:pPr>
  </w:style>
  <w:style w:styleId="Title" w:type="paragraph">
    <w:name w:val="Title"/>
    <w:basedOn w:val="Normal"/>
    <w:next w:val="BodyText"/>
    <w:qFormat/>
    <w:rsid w:val="00E22C21"/>
    <w:pPr>
      <w:keepNext/>
      <w:keepLines/>
      <w:spacing w:after="240" w:before="480"/>
    </w:pPr>
    <w:rPr>
      <w:rFonts w:ascii="Times New Roman" w:cs="Times New Roman" w:eastAsiaTheme="majorEastAsia" w:hAnsi="Times New Roman"/>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E22C21"/>
    <w:pPr>
      <w:keepNext/>
      <w:keepLines/>
    </w:pPr>
    <w:rPr>
      <w:rFonts w:ascii="Times New Roman" w:cs="Times New Roman" w:hAnsi="Times New Roman"/>
    </w:rPr>
  </w:style>
  <w:style w:styleId="Date" w:type="paragraph">
    <w:name w:val="Date"/>
    <w:next w:val="BodyText"/>
    <w:qFormat/>
    <w:rsid w:val="00E22C21"/>
    <w:pPr>
      <w:keepNext/>
      <w:keepLines/>
    </w:pPr>
    <w:rPr>
      <w:rFonts w:ascii="Times New Roman" w:cs="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PageNumber" w:type="character">
    <w:name w:val="page number"/>
    <w:basedOn w:val="DefaultParagraphFont"/>
    <w:unhideWhenUsed/>
    <w:rsid w:val="00BC175F"/>
  </w:style>
  <w:style w:customStyle="1" w:styleId="BodyTextChar" w:type="character">
    <w:name w:val="Body Text Char"/>
    <w:basedOn w:val="DefaultParagraphFont"/>
    <w:link w:val="BodyText"/>
    <w:rsid w:val="00E22C21"/>
    <w:rPr>
      <w:rFonts w:ascii="Times New Roman" w:cs="Times New Roman" w:hAnsi="Times New Roman"/>
    </w:rPr>
  </w:style>
  <w:style w:styleId="Header" w:type="paragraph">
    <w:name w:val="header"/>
    <w:basedOn w:val="Normal"/>
    <w:link w:val="HeaderChar"/>
    <w:unhideWhenUsed/>
    <w:rsid w:val="00BC175F"/>
    <w:pPr>
      <w:tabs>
        <w:tab w:pos="4680" w:val="center"/>
        <w:tab w:pos="9360" w:val="right"/>
      </w:tabs>
      <w:spacing w:after="0"/>
    </w:pPr>
  </w:style>
  <w:style w:customStyle="1" w:styleId="HeaderChar" w:type="character">
    <w:name w:val="Header Char"/>
    <w:basedOn w:val="DefaultParagraphFont"/>
    <w:link w:val="Header"/>
    <w:rsid w:val="00BC175F"/>
  </w:style>
  <w:style w:styleId="Footer" w:type="paragraph">
    <w:name w:val="footer"/>
    <w:basedOn w:val="Normal"/>
    <w:link w:val="FooterChar"/>
    <w:uiPriority w:val="99"/>
    <w:unhideWhenUsed/>
    <w:rsid w:val="00BC175F"/>
    <w:pPr>
      <w:tabs>
        <w:tab w:pos="4680" w:val="center"/>
        <w:tab w:pos="9360" w:val="right"/>
      </w:tabs>
      <w:spacing w:after="0"/>
      <w:jc w:val="center"/>
    </w:pPr>
    <w:rPr>
      <w:rFonts w:ascii="Times New Roman" w:cs="Times New Roman" w:hAnsi="Times New Roman"/>
      <w:noProof/>
    </w:rPr>
  </w:style>
  <w:style w:customStyle="1" w:styleId="FooterChar" w:type="character">
    <w:name w:val="Footer Char"/>
    <w:basedOn w:val="DefaultParagraphFont"/>
    <w:link w:val="Footer"/>
    <w:uiPriority w:val="99"/>
    <w:rsid w:val="00BC175F"/>
    <w:rPr>
      <w:rFonts w:ascii="Times New Roman" w:cs="Times New Roman" w:hAnsi="Times New Roman"/>
      <w:noProof/>
    </w:rPr>
  </w:style>
  <w:style w:styleId="LineNumber" w:type="character">
    <w:name w:val="line number"/>
    <w:unhideWhenUsed/>
    <w:rsid w:val="00897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9" Type="http://schemas.openxmlformats.org/officeDocument/2006/relationships/footer" Target="footer1.xml"/>
<Relationship Id="rId87" Type="http://schemas.openxmlformats.org/officeDocument/2006/relationships/hyperlink" Target="https://cig.uw.edu/wp-content/uploads/sites/2/2023/09/EastSFLOGuide-FinalEdits-091423.pdf" TargetMode="External"/>
<Relationship Id="rId102" Type="http://schemas.openxmlformats.org/officeDocument/2006/relationships/hyperlink" Target="https://dnr.wa.gov/sites/default/files/2025-03/rp_2023_fhh_report_final_wr.pdf" TargetMode="External"/>
<Relationship Id="rId84" Type="http://schemas.openxmlformats.org/officeDocument/2006/relationships/hyperlink" Target="https://doi.org/10.1002/ecs2.2651" TargetMode="External"/>
<Relationship Id="rId60" Type="http://schemas.openxmlformats.org/officeDocument/2006/relationships/hyperlink" Target="https://doi.org/10.1002/ecs2.3263" TargetMode="External"/>
<Relationship Id="rId79" Type="http://schemas.openxmlformats.org/officeDocument/2006/relationships/hyperlink" Target="https://doi.org/10.1002/ecs2.3419" TargetMode="External"/>
<Relationship Id="rId91" Type="http://schemas.openxmlformats.org/officeDocument/2006/relationships/hyperlink" Target="https://doi.org/10.1002/ecs2.4789" TargetMode="External"/>
<Relationship Id="rId56" Type="http://schemas.openxmlformats.org/officeDocument/2006/relationships/hyperlink" Target="https://doi.org/10.1016/j.foreco.2018.08.035" TargetMode="External"/>
<Relationship Id="rId62" Type="http://schemas.openxmlformats.org/officeDocument/2006/relationships/hyperlink" Target="https://doi.org/10.1016/j.foreco.2018.09.006" TargetMode="External"/>
<Relationship Id="rId65" Type="http://schemas.openxmlformats.org/officeDocument/2006/relationships/hyperlink" Target="https://doi.org/10.1016/j.foreco.2021.119438" TargetMode="External"/>
<Relationship Id="rId54" Type="http://schemas.openxmlformats.org/officeDocument/2006/relationships/hyperlink" Target="https://doi.org/10.1016/j.foreco.2021.119681" TargetMode="External"/>
<Relationship Id="rId89" Type="http://schemas.openxmlformats.org/officeDocument/2006/relationships/hyperlink" Target="https://doi.org/10.1016/j.foreco.2022.120110" TargetMode="External"/>
<Relationship Id="rId53" Type="http://schemas.openxmlformats.org/officeDocument/2006/relationships/hyperlink" Target="https://doi.org/10.1016/j.foreco.2022.120758" TargetMode="External"/>
<Relationship Id="rId85" Type="http://schemas.openxmlformats.org/officeDocument/2006/relationships/hyperlink" Target="https://doi.org/10.1016/j.foreco.2023.121128" TargetMode="External"/>
<Relationship Id="rId67" Type="http://schemas.openxmlformats.org/officeDocument/2006/relationships/hyperlink" Target="https://doi.org/10.1016/j.foreco.2023.121262" TargetMode="External"/>
<Relationship Id="rId75" Type="http://schemas.openxmlformats.org/officeDocument/2006/relationships/hyperlink" Target="https://doi.org/10.1016/j.foreco.2024.121969" TargetMode="External"/>
<Relationship Id="rId83" Type="http://schemas.openxmlformats.org/officeDocument/2006/relationships/hyperlink" Target="https://doi.org/10.1016/j.foreco.2025.122722" TargetMode="External"/>
<Relationship Id="rId73" Type="http://schemas.openxmlformats.org/officeDocument/2006/relationships/hyperlink" Target="https://doi.org/10.1016/j.foreco.2025.122907" TargetMode="External"/>
<Relationship Id="rId101" Type="http://schemas.openxmlformats.org/officeDocument/2006/relationships/hyperlink" Target="https://doi.org/10.1016/j.foreco.2025.123232" TargetMode="External"/>
<Relationship Id="rId81" Type="http://schemas.openxmlformats.org/officeDocument/2006/relationships/hyperlink" Target="https://doi.org/10.1016/j.tfp.2021.100074" TargetMode="External"/>
<Relationship Id="rId74" Type="http://schemas.openxmlformats.org/officeDocument/2006/relationships/hyperlink" Target="https://doi.org/10.1029/2021GL097131" TargetMode="External"/>
<Relationship Id="rId49" Type="http://schemas.openxmlformats.org/officeDocument/2006/relationships/hyperlink" Target="https://doi.org/10.1038/ngeo2400" TargetMode="External"/>
<Relationship Id="rId98" Type="http://schemas.openxmlformats.org/officeDocument/2006/relationships/hyperlink" Target="https://doi.org/10.1038/s41467-019-12380-6" TargetMode="External"/>
<Relationship Id="rId95" Type="http://schemas.openxmlformats.org/officeDocument/2006/relationships/hyperlink" Target="https://doi.org/10.1038/s41467-020-17213-5" TargetMode="External"/>
<Relationship Id="rId92" Type="http://schemas.openxmlformats.org/officeDocument/2006/relationships/hyperlink" Target="https://doi.org/10.1038/s41467-020-20678-z" TargetMode="External"/>
<Relationship Id="rId68" Type="http://schemas.openxmlformats.org/officeDocument/2006/relationships/hyperlink" Target="https://doi.org/10.1038/s41467-022-29289-2" TargetMode="External"/>
<Relationship Id="rId76" Type="http://schemas.openxmlformats.org/officeDocument/2006/relationships/hyperlink" Target="https://doi.org/10.1038/s41467-023-43083-8" TargetMode="External"/>
<Relationship Id="rId48" Type="http://schemas.openxmlformats.org/officeDocument/2006/relationships/hyperlink" Target="https://doi.org/10.1038/s41559-017-0248-x" TargetMode="External"/>
<Relationship Id="rId46" Type="http://schemas.openxmlformats.org/officeDocument/2006/relationships/hyperlink" Target="https://doi.org/10.1038/sdata.2017.191" TargetMode="External"/>
<Relationship Id="rId93" Type="http://schemas.openxmlformats.org/officeDocument/2006/relationships/hyperlink" Target="https://doi.org/10.1046/j.1365-2699.1998.00233.x" TargetMode="External"/>
<Relationship Id="rId88" Type="http://schemas.openxmlformats.org/officeDocument/2006/relationships/hyperlink" Target="https://doi.org/10.1073/pnas.1602384113" TargetMode="External"/>
<Relationship Id="rId47" Type="http://schemas.openxmlformats.org/officeDocument/2006/relationships/hyperlink" Target="https://doi.org/10.1073/pnas.1607171113" TargetMode="External"/>
<Relationship Id="rId94" Type="http://schemas.openxmlformats.org/officeDocument/2006/relationships/hyperlink" Target="https://doi.org/10.1086/285067" TargetMode="External"/>
<Relationship Id="rId52" Type="http://schemas.openxmlformats.org/officeDocument/2006/relationships/hyperlink" Target="https://doi.org/10.1093/jofore/fvad007" TargetMode="External"/>
<Relationship Id="rId97" Type="http://schemas.openxmlformats.org/officeDocument/2006/relationships/hyperlink" Target="https://doi.org/10.1093/treephys/tpr143" TargetMode="External"/>
<Relationship Id="rId64" Type="http://schemas.openxmlformats.org/officeDocument/2006/relationships/hyperlink" Target="https://doi.org/10.1093/treephys/tpv038" TargetMode="External"/>
<Relationship Id="rId103" Type="http://schemas.openxmlformats.org/officeDocument/2006/relationships/hyperlink" Target="https://doi.org/10.1098/rstb.2015.0178" TargetMode="External"/>
<Relationship Id="rId59" Type="http://schemas.openxmlformats.org/officeDocument/2006/relationships/hyperlink" Target="https://doi.org/10.1111/gcb.12026" TargetMode="External"/>
<Relationship Id="rId90" Type="http://schemas.openxmlformats.org/officeDocument/2006/relationships/hyperlink" Target="https://doi.org/10.1111/geb.13582" TargetMode="External"/>
<Relationship Id="rId100" Type="http://schemas.openxmlformats.org/officeDocument/2006/relationships/hyperlink" Target="https://doi.org/10.1111/j.1365-2745.2004.00954.x" TargetMode="External"/>
<Relationship Id="rId78" Type="http://schemas.openxmlformats.org/officeDocument/2006/relationships/hyperlink" Target="https://doi.org/10.1111/j.1469-8137.2008.02436.x" TargetMode="External"/>
<Relationship Id="rId96" Type="http://schemas.openxmlformats.org/officeDocument/2006/relationships/hyperlink" Target="https://doi.org/10.1111/j.1469-8137.2009.03167.x" TargetMode="External"/>
<Relationship Id="rId51" Type="http://schemas.openxmlformats.org/officeDocument/2006/relationships/hyperlink" Target="https://doi.org/10.1111/jbi.14732" TargetMode="External"/>
<Relationship Id="rId99" Type="http://schemas.openxmlformats.org/officeDocument/2006/relationships/hyperlink" Target="https://doi.org/10.1126/science.1165000" TargetMode="External"/>
<Relationship Id="rId63" Type="http://schemas.openxmlformats.org/officeDocument/2006/relationships/hyperlink" Target="https://doi.org/10.1139/cjfr-2016-0188" TargetMode="External"/>
<Relationship Id="rId50" Type="http://schemas.openxmlformats.org/officeDocument/2006/relationships/hyperlink" Target="https://doi.org/10.1139/cjfr-2018-0182" TargetMode="External"/>
<Relationship Id="rId69" Type="http://schemas.openxmlformats.org/officeDocument/2006/relationships/hyperlink" Target="https://doi.org/10.1186/s42408-019-0062-8" TargetMode="External"/>
<Relationship Id="rId58" Type="http://schemas.openxmlformats.org/officeDocument/2006/relationships/hyperlink" Target="https://doi.org/10.1371/journal.pone.0069917" TargetMode="External"/>
<Relationship Id="rId82" Type="http://schemas.openxmlformats.org/officeDocument/2006/relationships/hyperlink" Target="https://doi.org/10.1371/journal.pone.0118069" TargetMode="External"/>
<Relationship Id="rId77" Type="http://schemas.openxmlformats.org/officeDocument/2006/relationships/hyperlink" Target="https://doi.org/10.1890/02-0538" TargetMode="External"/>
<Relationship Id="rId72" Type="http://schemas.openxmlformats.org/officeDocument/2006/relationships/hyperlink" Target="https://doi.org/10.1890/03-0352" TargetMode="External"/>
<Relationship Id="rId55" Type="http://schemas.openxmlformats.org/officeDocument/2006/relationships/hyperlink" Target="https://doi.org/10.1890/080016" TargetMode="External"/>
<Relationship Id="rId86" Type="http://schemas.openxmlformats.org/officeDocument/2006/relationships/hyperlink" Target="https://doi.org/10.1890/11-1412.1" TargetMode="External"/>
<Relationship Id="rId80" Type="http://schemas.openxmlformats.org/officeDocument/2006/relationships/hyperlink" Target="https://doi.org/10.1890/11-1785.1" TargetMode="External"/>
<Relationship Id="rId70" Type="http://schemas.openxmlformats.org/officeDocument/2006/relationships/hyperlink" Target="https://doi.org/10.1890/13-0230.1" TargetMode="External"/>
<Relationship Id="rId61" Type="http://schemas.openxmlformats.org/officeDocument/2006/relationships/hyperlink" Target="https://doi.org/10.3354/cr028001" TargetMode="External"/>
<Relationship Id="rId71" Type="http://schemas.openxmlformats.org/officeDocument/2006/relationships/hyperlink" Target="https://doi.org/10.5849/forsci.15-086" TargetMode="External"/>
<Relationship Id="rId29" Type="http://schemas.openxmlformats.org/officeDocument/2006/relationships/hyperlink" Target="https://github.com/jeremygroom/Tree_Growth_Death" TargetMode="External"/>
<Relationship Id="rId25" Type="http://schemas.openxmlformats.org/officeDocument/2006/relationships/hyperlink" Target="https://plants.usda.gov/" TargetMode="External"/>
<Relationship Id="rId22" Type="http://schemas.openxmlformats.org/officeDocument/2006/relationships/hyperlink" Target="https://research.fs.usda.gov/products/dataandtools/fia-datamart" TargetMode="External"/>
<Relationship Id="rId66" Type="http://schemas.openxmlformats.org/officeDocument/2006/relationships/hyperlink" Target="https://storymaps.arcgis.com/stories/1405dab5f59246aa83849ec43f72b15a" TargetMode="External"/>
<Relationship Id="rId28" Type="http://schemas.openxmlformats.org/officeDocument/2006/relationships/hyperlink" Target="https://tinyurl.com/FIAgrowmort" TargetMode="External"/>
<Relationship Id="rId32" Type="http://schemas.openxmlformats.org/officeDocument/2006/relationships/hyperlink" Target="https://www.climate.gov/media/13728" TargetMode="External"/>
<Relationship Id="rId57" Type="http://schemas.openxmlformats.org/officeDocument/2006/relationships/hyperlink" Target="https://www.fia.fs.usda.gov/library/database-documentation/index" TargetMode="External"/>
<Relationship Id="rId106" Type="http://schemas.openxmlformats.org/officeDocument/2006/relationships/hyperlink" Target="mailto:jeremy@groomanalytics.com" TargetMode="External"/>
</Relationships>

</file>

<file path=word/_rels/footnotes.xml.rels><?xml version="1.0" encoding="UTF-8" standalone="yes"?>

<Relationships  xmlns="http://schemas.openxmlformats.org/package/2006/relationships">
<Relationship Id="rId87" Type="http://schemas.openxmlformats.org/officeDocument/2006/relationships/hyperlink" Target="https://cig.uw.edu/wp-content/uploads/sites/2/2023/09/EastSFLOGuide-FinalEdits-091423.pdf" TargetMode="External"/>
<Relationship Id="rId102" Type="http://schemas.openxmlformats.org/officeDocument/2006/relationships/hyperlink" Target="https://dnr.wa.gov/sites/default/files/2025-03/rp_2023_fhh_report_final_wr.pdf" TargetMode="External"/>
<Relationship Id="rId84" Type="http://schemas.openxmlformats.org/officeDocument/2006/relationships/hyperlink" Target="https://doi.org/10.1002/ecs2.2651" TargetMode="External"/>
<Relationship Id="rId60" Type="http://schemas.openxmlformats.org/officeDocument/2006/relationships/hyperlink" Target="https://doi.org/10.1002/ecs2.3263" TargetMode="External"/>
<Relationship Id="rId79" Type="http://schemas.openxmlformats.org/officeDocument/2006/relationships/hyperlink" Target="https://doi.org/10.1002/ecs2.3419" TargetMode="External"/>
<Relationship Id="rId91" Type="http://schemas.openxmlformats.org/officeDocument/2006/relationships/hyperlink" Target="https://doi.org/10.1002/ecs2.4789" TargetMode="External"/>
<Relationship Id="rId56" Type="http://schemas.openxmlformats.org/officeDocument/2006/relationships/hyperlink" Target="https://doi.org/10.1016/j.foreco.2018.08.035" TargetMode="External"/>
<Relationship Id="rId62" Type="http://schemas.openxmlformats.org/officeDocument/2006/relationships/hyperlink" Target="https://doi.org/10.1016/j.foreco.2018.09.006" TargetMode="External"/>
<Relationship Id="rId65" Type="http://schemas.openxmlformats.org/officeDocument/2006/relationships/hyperlink" Target="https://doi.org/10.1016/j.foreco.2021.119438" TargetMode="External"/>
<Relationship Id="rId54" Type="http://schemas.openxmlformats.org/officeDocument/2006/relationships/hyperlink" Target="https://doi.org/10.1016/j.foreco.2021.119681" TargetMode="External"/>
<Relationship Id="rId89" Type="http://schemas.openxmlformats.org/officeDocument/2006/relationships/hyperlink" Target="https://doi.org/10.1016/j.foreco.2022.120110" TargetMode="External"/>
<Relationship Id="rId53" Type="http://schemas.openxmlformats.org/officeDocument/2006/relationships/hyperlink" Target="https://doi.org/10.1016/j.foreco.2022.120758" TargetMode="External"/>
<Relationship Id="rId85" Type="http://schemas.openxmlformats.org/officeDocument/2006/relationships/hyperlink" Target="https://doi.org/10.1016/j.foreco.2023.121128" TargetMode="External"/>
<Relationship Id="rId67" Type="http://schemas.openxmlformats.org/officeDocument/2006/relationships/hyperlink" Target="https://doi.org/10.1016/j.foreco.2023.121262" TargetMode="External"/>
<Relationship Id="rId75" Type="http://schemas.openxmlformats.org/officeDocument/2006/relationships/hyperlink" Target="https://doi.org/10.1016/j.foreco.2024.121969" TargetMode="External"/>
<Relationship Id="rId83" Type="http://schemas.openxmlformats.org/officeDocument/2006/relationships/hyperlink" Target="https://doi.org/10.1016/j.foreco.2025.122722" TargetMode="External"/>
<Relationship Id="rId73" Type="http://schemas.openxmlformats.org/officeDocument/2006/relationships/hyperlink" Target="https://doi.org/10.1016/j.foreco.2025.122907" TargetMode="External"/>
<Relationship Id="rId101" Type="http://schemas.openxmlformats.org/officeDocument/2006/relationships/hyperlink" Target="https://doi.org/10.1016/j.foreco.2025.123232" TargetMode="External"/>
<Relationship Id="rId81" Type="http://schemas.openxmlformats.org/officeDocument/2006/relationships/hyperlink" Target="https://doi.org/10.1016/j.tfp.2021.100074" TargetMode="External"/>
<Relationship Id="rId74" Type="http://schemas.openxmlformats.org/officeDocument/2006/relationships/hyperlink" Target="https://doi.org/10.1029/2021GL097131" TargetMode="External"/>
<Relationship Id="rId49" Type="http://schemas.openxmlformats.org/officeDocument/2006/relationships/hyperlink" Target="https://doi.org/10.1038/ngeo2400" TargetMode="External"/>
<Relationship Id="rId98" Type="http://schemas.openxmlformats.org/officeDocument/2006/relationships/hyperlink" Target="https://doi.org/10.1038/s41467-019-12380-6" TargetMode="External"/>
<Relationship Id="rId95" Type="http://schemas.openxmlformats.org/officeDocument/2006/relationships/hyperlink" Target="https://doi.org/10.1038/s41467-020-17213-5" TargetMode="External"/>
<Relationship Id="rId92" Type="http://schemas.openxmlformats.org/officeDocument/2006/relationships/hyperlink" Target="https://doi.org/10.1038/s41467-020-20678-z" TargetMode="External"/>
<Relationship Id="rId68" Type="http://schemas.openxmlformats.org/officeDocument/2006/relationships/hyperlink" Target="https://doi.org/10.1038/s41467-022-29289-2" TargetMode="External"/>
<Relationship Id="rId76" Type="http://schemas.openxmlformats.org/officeDocument/2006/relationships/hyperlink" Target="https://doi.org/10.1038/s41467-023-43083-8" TargetMode="External"/>
<Relationship Id="rId48" Type="http://schemas.openxmlformats.org/officeDocument/2006/relationships/hyperlink" Target="https://doi.org/10.1038/s41559-017-0248-x" TargetMode="External"/>
<Relationship Id="rId46" Type="http://schemas.openxmlformats.org/officeDocument/2006/relationships/hyperlink" Target="https://doi.org/10.1038/sdata.2017.191" TargetMode="External"/>
<Relationship Id="rId93" Type="http://schemas.openxmlformats.org/officeDocument/2006/relationships/hyperlink" Target="https://doi.org/10.1046/j.1365-2699.1998.00233.x" TargetMode="External"/>
<Relationship Id="rId88" Type="http://schemas.openxmlformats.org/officeDocument/2006/relationships/hyperlink" Target="https://doi.org/10.1073/pnas.1602384113" TargetMode="External"/>
<Relationship Id="rId47" Type="http://schemas.openxmlformats.org/officeDocument/2006/relationships/hyperlink" Target="https://doi.org/10.1073/pnas.1607171113" TargetMode="External"/>
<Relationship Id="rId94" Type="http://schemas.openxmlformats.org/officeDocument/2006/relationships/hyperlink" Target="https://doi.org/10.1086/285067" TargetMode="External"/>
<Relationship Id="rId52" Type="http://schemas.openxmlformats.org/officeDocument/2006/relationships/hyperlink" Target="https://doi.org/10.1093/jofore/fvad007" TargetMode="External"/>
<Relationship Id="rId97" Type="http://schemas.openxmlformats.org/officeDocument/2006/relationships/hyperlink" Target="https://doi.org/10.1093/treephys/tpr143" TargetMode="External"/>
<Relationship Id="rId64" Type="http://schemas.openxmlformats.org/officeDocument/2006/relationships/hyperlink" Target="https://doi.org/10.1093/treephys/tpv038" TargetMode="External"/>
<Relationship Id="rId103" Type="http://schemas.openxmlformats.org/officeDocument/2006/relationships/hyperlink" Target="https://doi.org/10.1098/rstb.2015.0178" TargetMode="External"/>
<Relationship Id="rId59" Type="http://schemas.openxmlformats.org/officeDocument/2006/relationships/hyperlink" Target="https://doi.org/10.1111/gcb.12026" TargetMode="External"/>
<Relationship Id="rId90" Type="http://schemas.openxmlformats.org/officeDocument/2006/relationships/hyperlink" Target="https://doi.org/10.1111/geb.13582" TargetMode="External"/>
<Relationship Id="rId100" Type="http://schemas.openxmlformats.org/officeDocument/2006/relationships/hyperlink" Target="https://doi.org/10.1111/j.1365-2745.2004.00954.x" TargetMode="External"/>
<Relationship Id="rId78" Type="http://schemas.openxmlformats.org/officeDocument/2006/relationships/hyperlink" Target="https://doi.org/10.1111/j.1469-8137.2008.02436.x" TargetMode="External"/>
<Relationship Id="rId96" Type="http://schemas.openxmlformats.org/officeDocument/2006/relationships/hyperlink" Target="https://doi.org/10.1111/j.1469-8137.2009.03167.x" TargetMode="External"/>
<Relationship Id="rId51" Type="http://schemas.openxmlformats.org/officeDocument/2006/relationships/hyperlink" Target="https://doi.org/10.1111/jbi.14732" TargetMode="External"/>
<Relationship Id="rId99" Type="http://schemas.openxmlformats.org/officeDocument/2006/relationships/hyperlink" Target="https://doi.org/10.1126/science.1165000" TargetMode="External"/>
<Relationship Id="rId63" Type="http://schemas.openxmlformats.org/officeDocument/2006/relationships/hyperlink" Target="https://doi.org/10.1139/cjfr-2016-0188" TargetMode="External"/>
<Relationship Id="rId50" Type="http://schemas.openxmlformats.org/officeDocument/2006/relationships/hyperlink" Target="https://doi.org/10.1139/cjfr-2018-0182" TargetMode="External"/>
<Relationship Id="rId69" Type="http://schemas.openxmlformats.org/officeDocument/2006/relationships/hyperlink" Target="https://doi.org/10.1186/s42408-019-0062-8" TargetMode="External"/>
<Relationship Id="rId58" Type="http://schemas.openxmlformats.org/officeDocument/2006/relationships/hyperlink" Target="https://doi.org/10.1371/journal.pone.0069917" TargetMode="External"/>
<Relationship Id="rId82" Type="http://schemas.openxmlformats.org/officeDocument/2006/relationships/hyperlink" Target="https://doi.org/10.1371/journal.pone.0118069" TargetMode="External"/>
<Relationship Id="rId77" Type="http://schemas.openxmlformats.org/officeDocument/2006/relationships/hyperlink" Target="https://doi.org/10.1890/02-0538" TargetMode="External"/>
<Relationship Id="rId72" Type="http://schemas.openxmlformats.org/officeDocument/2006/relationships/hyperlink" Target="https://doi.org/10.1890/03-0352" TargetMode="External"/>
<Relationship Id="rId55" Type="http://schemas.openxmlformats.org/officeDocument/2006/relationships/hyperlink" Target="https://doi.org/10.1890/080016" TargetMode="External"/>
<Relationship Id="rId86" Type="http://schemas.openxmlformats.org/officeDocument/2006/relationships/hyperlink" Target="https://doi.org/10.1890/11-1412.1" TargetMode="External"/>
<Relationship Id="rId80" Type="http://schemas.openxmlformats.org/officeDocument/2006/relationships/hyperlink" Target="https://doi.org/10.1890/11-1785.1" TargetMode="External"/>
<Relationship Id="rId70" Type="http://schemas.openxmlformats.org/officeDocument/2006/relationships/hyperlink" Target="https://doi.org/10.1890/13-0230.1" TargetMode="External"/>
<Relationship Id="rId61" Type="http://schemas.openxmlformats.org/officeDocument/2006/relationships/hyperlink" Target="https://doi.org/10.3354/cr028001" TargetMode="External"/>
<Relationship Id="rId71" Type="http://schemas.openxmlformats.org/officeDocument/2006/relationships/hyperlink" Target="https://doi.org/10.5849/forsci.15-086" TargetMode="External"/>
<Relationship Id="rId29" Type="http://schemas.openxmlformats.org/officeDocument/2006/relationships/hyperlink" Target="https://github.com/jeremygroom/Tree_Growth_Death" TargetMode="External"/>
<Relationship Id="rId25" Type="http://schemas.openxmlformats.org/officeDocument/2006/relationships/hyperlink" Target="https://plants.usda.gov/" TargetMode="External"/>
<Relationship Id="rId22" Type="http://schemas.openxmlformats.org/officeDocument/2006/relationships/hyperlink" Target="https://research.fs.usda.gov/products/dataandtools/fia-datamart" TargetMode="External"/>
<Relationship Id="rId66" Type="http://schemas.openxmlformats.org/officeDocument/2006/relationships/hyperlink" Target="https://storymaps.arcgis.com/stories/1405dab5f59246aa83849ec43f72b15a" TargetMode="External"/>
<Relationship Id="rId28" Type="http://schemas.openxmlformats.org/officeDocument/2006/relationships/hyperlink" Target="https://tinyurl.com/FIAgrowmort" TargetMode="External"/>
<Relationship Id="rId32" Type="http://schemas.openxmlformats.org/officeDocument/2006/relationships/hyperlink" Target="https://www.climate.gov/media/13728" TargetMode="External"/>
<Relationship Id="rId57" Type="http://schemas.openxmlformats.org/officeDocument/2006/relationships/hyperlink" Target="https://www.fia.fs.usda.gov/library/database-documentation/index" TargetMode="External"/>
<Relationship Id="rId106" Type="http://schemas.openxmlformats.org/officeDocument/2006/relationships/hyperlink" Target="mailto:jeremy@groomanalytic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143</Words>
  <Characters>820</Characters>
  <Application>Microsoft Office Word</Application>
  <DocSecurity>0</DocSecurity>
  <Lines>6</Lines>
  <Paragraphs>1</Paragraphs>
  <ScaleCrop>false</ScaleCrop>
  <Company/>
  <LinksUpToDate>false</LinksUpToDate>
  <CharactersWithSpaces>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Tree growth, mortality, and climatic water deficit in west-coast states, USA</dc:title>
  <dc:creator/>
  <cp:keywords/>
  <dcterms:created xsi:type="dcterms:W3CDTF">2026-04-10T00:00:01Z</dcterms:created>
  <dcterms:modified xsi:type="dcterms:W3CDTF">2026-04-09T17:00:02Z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09 April, 2026</vt:lpwstr>
  </property>
  <property fmtid="{D5CDD505-2E9C-101B-9397-08002B2CF9AE}" pid="3" name="output">
    <vt:lpwstr/>
  </property>
</Properties>
</file>