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20 August,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[601]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 Our total sample size was [12500] forested plots (Figure 1).</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from within each of the strata and obtained point estimates. For each domain we calculated a mean and upper and lower 95% CIs with the 2.5% and 97.5% quantiles from 1000 sampling iterations. This approach allows for nonsymmetrical CIs around a mean and prevents CIs from including negative values. We estimated differences between pairs of CWD domains by subtracting within-iteration domain point estimates.</w:t>
      </w:r>
      <w:r>
        <w:br/>
      </w:r>
      <w:r>
        <w:t xml:space="preserve">[permutation analysis]</w:t>
      </w:r>
    </w:p>
    <w:bookmarkEnd w:id="25"/>
    <w:bookmarkEnd w:id="26"/>
    <w:bookmarkStart w:id="27" w:name="results"/>
    <w:p>
      <w:pPr>
        <w:pStyle w:val="Heading1"/>
      </w:pPr>
      <w:r>
        <w:t xml:space="preserve">Results</w:t>
      </w:r>
    </w:p>
    <w:p>
      <w:pPr>
        <w:pStyle w:val="FirstParagraph"/>
      </w:pPr>
      <w:r>
        <w:t xml:space="preserve">Our study tracked the fate of 272,941 trees from 23 in 12,297 plots that were visited twice by FIA crews. The two visits for 86.5% of plots were 10 years apart(3.5% were 9 years, 7.3% were 11 years). Of the 23 species, 17 are gymnosperms. Overall growth rates for species varied between 40.4 (</w:t>
      </w:r>
      <w:r>
        <w:rPr>
          <w:i/>
          <w:iCs/>
        </w:rPr>
        <w:t xml:space="preserve">Quercus chrysolepis</w:t>
      </w:r>
      <w:r>
        <w:t xml:space="preserve">) and 253.7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 (</w:t>
      </w:r>
      <w:r>
        <w:rPr>
          <w:i/>
          <w:iCs/>
        </w:rPr>
        <w:t xml:space="preserve">Abies amabilis</w:t>
      </w:r>
      <w:r>
        <w:t xml:space="preserve">) to 149.5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among domains (Figure 3).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There were 22 estimates out of 68 which had 95% CIs that did not overlap with zero; 9 of these were negative. Negative estimates indicate that the growth rate was greater for a species in plots below the change estimates.</w:t>
      </w:r>
    </w:p>
    <w:p>
      <w:pPr>
        <w:pStyle w:val="BodyText"/>
      </w:pPr>
      <w:r>
        <w:t xml:space="preserve">The second column of Figure 3 shows the differences in growth estimates AH - AL, AH - AM, and AM - AL for each species; effectively, the top row of domains shown in Figure 2A. 26 comparisons had 95% CIs that did not include 0, of which 15 were negative. Negative values indicate that a lower-valued initial CWD domain had a greater growth rate than a higher-valued domain. The third column displays the same domain differences but for the bottom row of domains shown in 2A. 31 comparisons had 95% CIs that did not include 0, of which 21 were negative. Like the second column, negative differences indicate lower initial-value CWD domains had higher growth than higher domains.</w:t>
      </w:r>
    </w:p>
    <w:p>
      <w:pPr>
        <w:pStyle w:val="BodyText"/>
      </w:pPr>
      <w:r>
        <w:t xml:space="preserve">We examined mortality estimates in a similar fashion. The first column in Figure 4 has 11 comparisons with 95% CIs that do not overlap zero, 9 of which are positive, indicating mortality is greater for those species in one or more of the above-threshold CWD change domains. The middle column had 23</w:t>
      </w:r>
      <w:r>
        <w:t xml:space="preserve"> </w:t>
      </w:r>
      <w:r>
        <w:t xml:space="preserve">“significant”</w:t>
      </w:r>
      <w:r>
        <w:t xml:space="preserve"> </w:t>
      </w:r>
      <w:r>
        <w:t xml:space="preserve">comparisons, 14 of which were negative (for the above-threshold change CWD domains, there was more mortality for lower initial-value CWD domains). The right column had 17</w:t>
      </w:r>
      <w:r>
        <w:t xml:space="preserve"> </w:t>
      </w:r>
      <w:r>
        <w:t xml:space="preserve">“significant”</w:t>
      </w:r>
      <w:r>
        <w:t xml:space="preserve"> </w:t>
      </w:r>
      <w:r>
        <w:t xml:space="preserve">comparisons, 6 of which were negative (for the below-threshold change CWD domains, there was more mortality for lower initial-value CWD domains).</w:t>
      </w:r>
    </w:p>
    <w:bookmarkEnd w:id="27"/>
    <w:bookmarkStart w:id="29"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8">
        <w:r>
          <w:rPr>
            <w:rStyle w:val="Hyperlink"/>
          </w:rPr>
          <w:t xml:space="preserve">NOAA Climate.gov</w:t>
        </w:r>
      </w:hyperlink>
      <w:r>
        <w:t xml:space="preserve">.</w:t>
      </w:r>
    </w:p>
    <w:bookmarkEnd w:id="29"/>
    <w:bookmarkStart w:id="30" w:name="conclusion"/>
    <w:p>
      <w:pPr>
        <w:pStyle w:val="Heading1"/>
      </w:pPr>
      <w:r>
        <w:t xml:space="preserve">Conclusion</w:t>
      </w:r>
    </w:p>
    <w:bookmarkEnd w:id="30"/>
    <w:bookmarkStart w:id="31" w:name="acknowledgments"/>
    <w:p>
      <w:pPr>
        <w:pStyle w:val="Heading1"/>
      </w:pPr>
      <w:r>
        <w:t xml:space="preserve">Acknowledgments</w:t>
      </w:r>
    </w:p>
    <w:bookmarkEnd w:id="31"/>
    <w:bookmarkStart w:id="33" w:name="references"/>
    <w:p>
      <w:pPr>
        <w:pStyle w:val="Heading1"/>
      </w:pPr>
      <w:r>
        <w:t xml:space="preserve">References</w:t>
      </w:r>
    </w:p>
    <w:bookmarkStart w:id="32" w:name="refs"/>
    <w:p>
      <w:pPr>
        <w:pStyle w:val="Bibliography"/>
      </w:pPr>
      <w:r>
        <w:t xml:space="preserve">Wang, T., Hamann, A. Spittlehouse, D.L. and Carroll, C. 2016. Locally downscaled and spatially customizable climate data for historical and future periods for North America. PLoS One 11: e0156720</w:t>
      </w:r>
    </w:p>
    <w:bookmarkEnd w:id="32"/>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13.5 (12.2,15.2;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 (16.8,19.2;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 (16.1,18.0;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29.4 (28.4,30.4;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26.5 (24.9,27.9;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28.8 (27.9,29.6;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48.6 (41.1,71.8;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29.4 (26.8,32.2;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26.3 (24.0,28.8;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28.8 (27.0,30.7;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 (9.5,12.2;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(9.2,12.1;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(9.6,12.1;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 (9.9,12.8;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(9.2,11.0;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(9.9,11.4;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 (15.6,20.1;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15.9 (14.4,17.8;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 (14.6,17.8;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20.8 (19.6,22.2;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 (23.1,28.8;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21.7 (20.4,23.0;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(23.9,29.6;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 (17.3,21.6;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21.5 (20.0,23.5;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13.0 (11.8,14.1;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10.5 (9.9,11.3;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(8.0,9.6;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(10.2,11.4;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(21.3,25.3;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(12.9,38.2;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(21.2,24.9;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40.2 (37.6,43.5;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34.6 (30.4,38.8;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39.3 (36.9,41.7;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 (16.4,19.5;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17.8 (14.5,21.1;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(23.0,30.7;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19.3 (17.9,20.6;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30.1 (28.1,31.9;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23.7 (22.8,24.7;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27.5 (26.1,29.1;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(25.7,27.2;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35.0 (33.9,36.3;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37.7 (36.7,38.8;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33.6 (32.7,34.5;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35.7 (35.0,36.3;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34.6 (29.9,40.7;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30.2 (26.8,33.0;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31.1 (29.0,33.3;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37.8 (25.4,50.6;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(27.4,30.0;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24.2 (23.3,25.3;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25.5 (24.7,26.3;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11.1 (9.7,12.5;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10.0 (9.0,10.9;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(10.7,12.5;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(10.2,11.5;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 (5.5,10.9;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(19.2,23.9;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30.0 (26.6,33.7;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22.5 (20.9,24.3;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 (19.0,26.8;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21.2 (18.6,23.4;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23.3 (21.6,24.8;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 (21.0,23.5;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11.7 (10.6,12.8;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9.5 (8.5,10.4;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(4.3,22.9;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(10.0,11.3;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12.2 (11.5,12.9;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(7.9,9.9;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 (10.9,12.1;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(5.9,6.8;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5.5 (4.3,6.8;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(5.9,6.8;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10.0 (9.2,10.9;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 (5.9,8.6;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9.8 (9.1,10.6;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(0.13,0.22;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(0.10,0.14;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(0.02,0.34;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(0.21,0.29;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(0.20,0.30;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(0.15,0.28;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(0.18,0.28;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(0.02,0.04;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(0.03,0.06;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(0.05,0.10;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(0.26,0.42;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(0.21,0.35;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(0.06,0.09;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0.38 (0.32,0.43;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(0.19,0.24;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(0.07,0.10;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(0.07,0.10;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(0.13,0.22;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(0.15,0.28;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(0.18,0.33;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(0.16,0.22;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(0.14,0.20;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(0.09,0.11;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(0.08,0.10;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(0.11,0.14;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(0.03,0.04;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(0.04,0.15;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(0.09,0.11;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(0.09,0.10;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(0.03,0.08;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(0.09,0.13;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(0.19,0.37;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(0.20,0.32;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(0.19,0.25;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(0.07,0.29;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(0.13,0.16;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(0.15,0.25;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(0.04,0.18;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(0.15,0.25;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(0.07,0.14;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5"/>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
      </w:r>
      <w:bookmarkStart w:id="a4f53e60-9193-487a-8655-ce7695effa6c"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a4f53e60-9193-487a-8655-ce7695effa6c"/>
      <w:r>
        <w:rPr>
          <w:rFonts/>
          <w:b w:val="true"/>
        </w:rPr>
        <w:t xml:space="preserve"/>
      </w:r>
      <w:r>
        <w:t xml:space="preserve">Figure 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6"/>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
      </w:r>
      <w:bookmarkStart w:id="0c91954a-f195-4d00-beb6-0dd1b2c37a3f"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0c91954a-f195-4d00-beb6-0dd1b2c37a3f"/>
      <w:r>
        <w:rPr>
          <w:rFonts/>
          <w:b w:val="true"/>
        </w:rPr>
        <w:t xml:space="preserve"/>
      </w:r>
      <w:r>
        <w:t xml:space="preserve">Figure 2: Decadal (A) growth and (B) mortality domain estimates for</w:t>
      </w:r>
      <w:r>
        <w:t xml:space="preserve"> </w:t>
      </w:r>
      <w:r>
        <w:rPr>
          <w:i/>
          <w:iCs/>
        </w:rPr>
        <w:t xml:space="preserve">Abies lasiocarpa</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7"/>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
      </w:r>
      <w:bookmarkStart w:id="25a0f9db-14f9-4145-9654-429e1a20edd1"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5a0f9db-14f9-4145-9654-429e1a20edd1"/>
      <w:r>
        <w:rPr>
          <w:rFonts/>
          <w:b w:val="true"/>
        </w:rPr>
        <w:t xml:space="preserve"/>
      </w:r>
      <w:r>
        <w:t xml:space="preserve">Figure 3: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8"/>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
      </w:r>
      <w:bookmarkStart w:id="74398594-d2f9-40e3-b588-66b8940ca5f2"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4398594-d2f9-40e3-b588-66b8940ca5f2"/>
      <w:r>
        <w:rPr>
          <w:rFonts/>
          <w:b w:val="true"/>
        </w:rPr>
        <w:t xml:space="preserve"/>
      </w:r>
      <w:r>
        <w:t xml:space="preserve">Figure 4: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w:t>
      </w:r>
    </w:p>
    <w:bookmarkEnd w:id="33"/>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 Id="rId35" Type="http://schemas.openxmlformats.org/officeDocument/2006/relationships/image" Target="media/500db3360955d2be79a0ee9bef40936d64b92675.png"/>
<Relationship Id="rId36" Type="http://schemas.openxmlformats.org/officeDocument/2006/relationships/image" Target="media/0156b86c33c9774ff6115ca9c3fa74c4fad0e7e8.png"/>
<Relationship Id="rId37" Type="http://schemas.openxmlformats.org/officeDocument/2006/relationships/image" Target="media/408572ac9e4e376313485600080d66b40ba03327.png"/>
<Relationship Id="rId38" Type="http://schemas.openxmlformats.org/officeDocument/2006/relationships/image" Target="media/5e6c4be674fe1a7563769ceef2c7e6f44c86652b.png"/>
</Relationships>

</file>

<file path=word/_rels/footnotes.xml.rels><?xml version="1.0" encoding="UTF-8" standalone="yes"?>

<Relationships  xmlns="http://schemas.openxmlformats.org/package/2006/relationships">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2025-08-21T00:27:31Z</dcterms:created>
  <dcterms:modified xsi:type="dcterms:W3CDTF">2025-08-20T17:27:32Z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August, 2025</vt:lpwstr>
  </property>
  <property fmtid="{D5CDD505-2E9C-101B-9397-08002B2CF9AE}" pid="3" name="output">
    <vt:lpwstr/>
  </property>
</Properties>
</file>