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b0c5d192e03e204ae9dc7724d8b8073ca632715"/>
    <w:p>
      <w:pPr>
        <w:pStyle w:val="Heading1"/>
      </w:pPr>
      <w:r>
        <w:t xml:space="preserve">AI Advantage 401 — Marketing and Content Handout</w:t>
      </w:r>
    </w:p>
    <w:p>
      <w:pPr>
        <w:pStyle w:val="FirstParagraph"/>
      </w:pPr>
      <w:r>
        <w:t xml:space="preserve">One page. Publish 3 pieces a week, compliance checked.</w:t>
      </w:r>
    </w:p>
    <w:p>
      <w:r>
        <w:pict>
          <v:rect style="width:0;height:1.5pt" o:hralign="center" o:hrstd="t" o:hr="t"/>
        </w:pict>
      </w:r>
    </w:p>
    <w:bookmarkStart w:id="9" w:name="the-3-pieces-a-week-rule"/>
    <w:p>
      <w:pPr>
        <w:pStyle w:val="Heading2"/>
      </w:pPr>
      <w:r>
        <w:t xml:space="preserve">The 3 Pieces a Week Rule</w:t>
      </w:r>
    </w:p>
    <w:p>
      <w:pPr>
        <w:pStyle w:val="FirstParagraph"/>
      </w:pPr>
      <w:r>
        <w:t xml:space="preserve">Not 10. Three. One GBP post, one short video script, one social post. Run each through your Twin, edit, run through the safe content decision tree, publish.</w:t>
      </w:r>
    </w:p>
    <w:bookmarkEnd w:id="9"/>
    <w:bookmarkStart w:id="10" w:name="the-safe-content-decision-tree"/>
    <w:p>
      <w:pPr>
        <w:pStyle w:val="Heading2"/>
      </w:pPr>
      <w:r>
        <w:t xml:space="preserve">The Safe Content Decision Tree</w:t>
      </w:r>
    </w:p>
    <w:p>
      <w:pPr>
        <w:pStyle w:val="FirstParagraph"/>
      </w:pPr>
      <w:r>
        <w:t xml:space="preserve">Before any post goes public, ask:</w:t>
      </w:r>
    </w:p>
    <w:p>
      <w:pPr>
        <w:pStyle w:val="Compact"/>
        <w:numPr>
          <w:ilvl w:val="0"/>
          <w:numId w:val="1001"/>
        </w:numPr>
      </w:pPr>
      <w:r>
        <w:t xml:space="preserve">Does it mention a specific rate, payment, or fee? → Full disclosures required. Send to compliance.</w:t>
      </w:r>
    </w:p>
    <w:p>
      <w:pPr>
        <w:pStyle w:val="Compact"/>
        <w:numPr>
          <w:ilvl w:val="0"/>
          <w:numId w:val="1001"/>
        </w:numPr>
      </w:pPr>
      <w:r>
        <w:t xml:space="preserve">Does it name a competitor? → Rewrite. No competitor comparisons.</w:t>
      </w:r>
    </w:p>
    <w:p>
      <w:pPr>
        <w:pStyle w:val="Compact"/>
        <w:numPr>
          <w:ilvl w:val="0"/>
          <w:numId w:val="1001"/>
        </w:numPr>
      </w:pPr>
      <w:r>
        <w:t xml:space="preserve">Does it imply a guaranteed outcome? → Rewrite. No</w:t>
      </w:r>
      <w:r>
        <w:t xml:space="preserve"> </w:t>
      </w:r>
      <w:r>
        <w:t xml:space="preserve">“guaranteed approval”</w:t>
      </w:r>
      <w:r>
        <w:t xml:space="preserve"> </w:t>
      </w:r>
      <w:r>
        <w:t xml:space="preserve">or</w:t>
      </w:r>
      <w:r>
        <w:t xml:space="preserve"> </w:t>
      </w:r>
      <w:r>
        <w:t xml:space="preserve">“lowest rate.”</w:t>
      </w:r>
    </w:p>
    <w:p>
      <w:pPr>
        <w:pStyle w:val="Compact"/>
        <w:numPr>
          <w:ilvl w:val="0"/>
          <w:numId w:val="1001"/>
        </w:numPr>
      </w:pPr>
      <w:r>
        <w:t xml:space="preserve">Does it include your NMLS ID and Equal Housing logo (where required)? → Add if not.</w:t>
      </w:r>
    </w:p>
    <w:p>
      <w:pPr>
        <w:pStyle w:val="Compact"/>
        <w:numPr>
          <w:ilvl w:val="0"/>
          <w:numId w:val="1001"/>
        </w:numPr>
      </w:pPr>
      <w:r>
        <w:t xml:space="preserve">Could a reasonable borrower read it as advice for their specific situation? → Soften. Add</w:t>
      </w:r>
      <w:r>
        <w:t xml:space="preserve"> </w:t>
      </w:r>
      <w:r>
        <w:t xml:space="preserve">“talk to a licensed loan officer.”</w:t>
      </w:r>
    </w:p>
    <w:p>
      <w:pPr>
        <w:pStyle w:val="FirstParagraph"/>
      </w:pPr>
      <w:r>
        <w:t xml:space="preserve">If any answer is</w:t>
      </w:r>
      <w:r>
        <w:t xml:space="preserve"> </w:t>
      </w:r>
      <w:r>
        <w:t xml:space="preserve">“yes”</w:t>
      </w:r>
      <w:r>
        <w:t xml:space="preserve"> </w:t>
      </w:r>
      <w:r>
        <w:t xml:space="preserve">but you didn’t fix it,</w:t>
      </w:r>
      <w:r>
        <w:t xml:space="preserve"> </w:t>
      </w:r>
      <w:r>
        <w:rPr>
          <w:b/>
          <w:bCs/>
        </w:rPr>
        <w:t xml:space="preserve">do not publish</w:t>
      </w:r>
      <w:r>
        <w:t xml:space="preserve">.</w:t>
      </w:r>
    </w:p>
    <w:bookmarkEnd w:id="10"/>
    <w:bookmarkStart w:id="11" w:name="pick-one-pillar"/>
    <w:p>
      <w:pPr>
        <w:pStyle w:val="Heading2"/>
      </w:pPr>
      <w:r>
        <w:t xml:space="preserve">Pick One Pillar</w:t>
      </w:r>
    </w:p>
    <w:p>
      <w:pPr>
        <w:pStyle w:val="FirstParagraph"/>
      </w:pPr>
      <w:r>
        <w:t xml:space="preserve">Not three. One borrower profile or topic for the next 90 days:</w:t>
      </w:r>
    </w:p>
    <w:p>
      <w:pPr>
        <w:pStyle w:val="Compact"/>
        <w:numPr>
          <w:ilvl w:val="0"/>
          <w:numId w:val="1002"/>
        </w:numPr>
      </w:pPr>
      <w:r>
        <w:t xml:space="preserve">First time buyers</w:t>
      </w:r>
    </w:p>
    <w:p>
      <w:pPr>
        <w:pStyle w:val="Compact"/>
        <w:numPr>
          <w:ilvl w:val="0"/>
          <w:numId w:val="1002"/>
        </w:numPr>
      </w:pPr>
      <w:r>
        <w:t xml:space="preserve">Self employed</w:t>
      </w:r>
    </w:p>
    <w:p>
      <w:pPr>
        <w:pStyle w:val="Compact"/>
        <w:numPr>
          <w:ilvl w:val="0"/>
          <w:numId w:val="1002"/>
        </w:numPr>
      </w:pPr>
      <w:r>
        <w:t xml:space="preserve">VA / military</w:t>
      </w:r>
    </w:p>
    <w:p>
      <w:pPr>
        <w:pStyle w:val="Compact"/>
        <w:numPr>
          <w:ilvl w:val="0"/>
          <w:numId w:val="1002"/>
        </w:numPr>
      </w:pPr>
      <w:r>
        <w:t xml:space="preserve">Investor</w:t>
      </w:r>
    </w:p>
    <w:p>
      <w:pPr>
        <w:pStyle w:val="Compact"/>
        <w:numPr>
          <w:ilvl w:val="0"/>
          <w:numId w:val="1002"/>
        </w:numPr>
      </w:pPr>
      <w:r>
        <w:t xml:space="preserve">Move up</w:t>
      </w:r>
    </w:p>
    <w:p>
      <w:pPr>
        <w:pStyle w:val="Compact"/>
        <w:numPr>
          <w:ilvl w:val="0"/>
          <w:numId w:val="1002"/>
        </w:numPr>
      </w:pPr>
      <w:r>
        <w:t xml:space="preserve">Divorce</w:t>
      </w:r>
    </w:p>
    <w:p>
      <w:pPr>
        <w:pStyle w:val="Compact"/>
        <w:numPr>
          <w:ilvl w:val="0"/>
          <w:numId w:val="1002"/>
        </w:numPr>
      </w:pPr>
      <w:r>
        <w:t xml:space="preserve">New construction</w:t>
      </w:r>
    </w:p>
    <w:p>
      <w:pPr>
        <w:pStyle w:val="Compact"/>
        <w:numPr>
          <w:ilvl w:val="0"/>
          <w:numId w:val="1002"/>
        </w:numPr>
      </w:pPr>
      <w:r>
        <w:t xml:space="preserve">Reverse</w:t>
      </w:r>
    </w:p>
    <w:p>
      <w:pPr>
        <w:pStyle w:val="FirstParagraph"/>
      </w:pPr>
      <w:r>
        <w:t xml:space="preserve">Everything you post ties back to that one pillar.</w:t>
      </w:r>
    </w:p>
    <w:bookmarkEnd w:id="11"/>
    <w:bookmarkStart w:id="15" w:name="the-three-templates"/>
    <w:p>
      <w:pPr>
        <w:pStyle w:val="Heading2"/>
      </w:pPr>
      <w:r>
        <w:t xml:space="preserve">The Three Templates</w:t>
      </w:r>
    </w:p>
    <w:bookmarkStart w:id="12" w:name="google-business-profile-post"/>
    <w:p>
      <w:pPr>
        <w:pStyle w:val="Heading3"/>
      </w:pPr>
      <w:r>
        <w:t xml:space="preserve">Google Business Profile Post</w:t>
      </w:r>
    </w:p>
    <w:p>
      <w:pPr>
        <w:pStyle w:val="SourceCode"/>
      </w:pPr>
      <w:r>
        <w:rPr>
          <w:rStyle w:val="VerbatimChar"/>
        </w:rPr>
        <w:t xml:space="preserve">[Market stat or local fact]. [One sentence about what it means for </w:t>
      </w:r>
      <w:r>
        <w:br/>
      </w:r>
      <w:r>
        <w:rPr>
          <w:rStyle w:val="VerbatimChar"/>
        </w:rPr>
        <w:t xml:space="preserve">borrowers in your area]. [One sentence about how to start a </w:t>
      </w:r>
      <w:r>
        <w:br/>
      </w:r>
      <w:r>
        <w:rPr>
          <w:rStyle w:val="VerbatimChar"/>
        </w:rPr>
        <w:t xml:space="preserve">conversation]. NMLS [ID].</w:t>
      </w:r>
    </w:p>
    <w:bookmarkEnd w:id="12"/>
    <w:bookmarkStart w:id="13" w:name="short-video-script-60-sec"/>
    <w:p>
      <w:pPr>
        <w:pStyle w:val="Heading3"/>
      </w:pPr>
      <w:r>
        <w:t xml:space="preserve">Short Video Script (60 sec)</w:t>
      </w:r>
    </w:p>
    <w:p>
      <w:pPr>
        <w:pStyle w:val="SourceCode"/>
      </w:pPr>
      <w:r>
        <w:rPr>
          <w:rStyle w:val="VerbatimChar"/>
        </w:rPr>
        <w:t xml:space="preserve">[0-5 sec] Hook. Pattern interrupt. No intro.</w:t>
      </w:r>
      <w:r>
        <w:br/>
      </w:r>
      <w:r>
        <w:rPr>
          <w:rStyle w:val="VerbatimChar"/>
        </w:rPr>
        <w:t xml:space="preserve">[5-30 sec] One example. One story. One data point.</w:t>
      </w:r>
      <w:r>
        <w:br/>
      </w:r>
      <w:r>
        <w:rPr>
          <w:rStyle w:val="VerbatimChar"/>
        </w:rPr>
        <w:t xml:space="preserve">[30-55 sec] The takeaway. What to do, what to avoid.</w:t>
      </w:r>
      <w:r>
        <w:br/>
      </w:r>
      <w:r>
        <w:rPr>
          <w:rStyle w:val="VerbatimChar"/>
        </w:rPr>
        <w:t xml:space="preserve">[55-60 sec] CTA. "DM me 'yes' if you want the next video."</w:t>
      </w:r>
    </w:p>
    <w:bookmarkEnd w:id="13"/>
    <w:bookmarkStart w:id="14" w:name="social-post"/>
    <w:p>
      <w:pPr>
        <w:pStyle w:val="Heading3"/>
      </w:pPr>
      <w:r>
        <w:t xml:space="preserve">Social Post</w:t>
      </w:r>
    </w:p>
    <w:p>
      <w:pPr>
        <w:pStyle w:val="SourceCode"/>
      </w:pPr>
      <w:r>
        <w:rPr>
          <w:rStyle w:val="VerbatimChar"/>
        </w:rPr>
        <w:t xml:space="preserve">[Hook in first line — visible before "see more"].</w:t>
      </w:r>
      <w:r>
        <w:br/>
      </w:r>
      <w:r>
        <w:rPr>
          <w:rStyle w:val="VerbatimChar"/>
        </w:rPr>
        <w:t xml:space="preserve">[2-3 short lines. The pattern interrupt or the data point.]</w:t>
      </w:r>
      <w:r>
        <w:br/>
      </w:r>
      <w:r>
        <w:rPr>
          <w:rStyle w:val="VerbatimChar"/>
        </w:rPr>
        <w:t xml:space="preserve">[NMLS ID]</w:t>
      </w:r>
      <w:r>
        <w:br/>
      </w:r>
      <w:r>
        <w:rPr>
          <w:rStyle w:val="VerbatimChar"/>
        </w:rPr>
        <w:t xml:space="preserve">[Plain CTA: link in bio, DM me, or call].</w:t>
      </w:r>
    </w:p>
    <w:bookmarkEnd w:id="14"/>
    <w:bookmarkEnd w:id="15"/>
    <w:bookmarkStart w:id="16" w:name="the-multi-language-path"/>
    <w:p>
      <w:pPr>
        <w:pStyle w:val="Heading2"/>
      </w:pPr>
      <w:r>
        <w:t xml:space="preserve">The Multi-Language Path</w:t>
      </w:r>
    </w:p>
    <w:p>
      <w:pPr>
        <w:pStyle w:val="FirstParagraph"/>
      </w:pPr>
      <w:r>
        <w:t xml:space="preserve">If your market has bilingual borrowers, draft both versions in your Twin, then have a native speaker review before posting. The Twin is the first draft, not the final.</w:t>
      </w:r>
    </w:p>
    <w:bookmarkEnd w:id="16"/>
    <w:bookmarkStart w:id="17" w:name="the-assignment"/>
    <w:p>
      <w:pPr>
        <w:pStyle w:val="Heading2"/>
      </w:pPr>
      <w:r>
        <w:t xml:space="preserve">The Assignment</w:t>
      </w:r>
    </w:p>
    <w:p>
      <w:pPr>
        <w:pStyle w:val="Compact"/>
        <w:numPr>
          <w:ilvl w:val="0"/>
          <w:numId w:val="1003"/>
        </w:numPr>
      </w:pPr>
      <w:r>
        <w:t xml:space="preserve">Publish 3 pieces this week: 1 GBP post, 1 short video script, 1 social post.</w:t>
      </w:r>
    </w:p>
    <w:p>
      <w:pPr>
        <w:pStyle w:val="Compact"/>
        <w:numPr>
          <w:ilvl w:val="0"/>
          <w:numId w:val="1003"/>
        </w:numPr>
      </w:pPr>
      <w:r>
        <w:t xml:space="preserve">Run each through the safe content decision tree.</w:t>
      </w:r>
    </w:p>
    <w:p>
      <w:pPr>
        <w:pStyle w:val="Compact"/>
        <w:numPr>
          <w:ilvl w:val="0"/>
          <w:numId w:val="1003"/>
        </w:numPr>
      </w:pPr>
      <w:r>
        <w:t xml:space="preserve">Mark this module complete.</w:t>
      </w:r>
    </w:p>
    <w:bookmarkEnd w:id="17"/>
    <w:bookmarkStart w:id="18" w:name="behavior-change"/>
    <w:p>
      <w:pPr>
        <w:pStyle w:val="Heading2"/>
      </w:pPr>
      <w:r>
        <w:t xml:space="preserve">Behavior Change</w:t>
      </w:r>
    </w:p>
    <w:p>
      <w:pPr>
        <w:pStyle w:val="FirstParagraph"/>
      </w:pPr>
      <w:r>
        <w:t xml:space="preserve">You have a weekly content cadence.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2026-06-09T17:41:50Z</dcterms:created>
  <dcterms:modified xsi:type="dcterms:W3CDTF">2026-06-09T17:41:50Z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