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95FF" w14:textId="0B93042B" w:rsidR="00E00114" w:rsidRPr="008624BB" w:rsidRDefault="00A24935" w:rsidP="00C548AE">
      <w:pPr>
        <w:ind w:left="-360" w:right="-720"/>
        <w:rPr>
          <w:b/>
          <w:bCs/>
        </w:rPr>
      </w:pPr>
      <w:r w:rsidRPr="008624BB">
        <w:rPr>
          <w:b/>
          <w:bCs/>
        </w:rPr>
        <w:t>Institutes and Centers</w:t>
      </w:r>
      <w:r w:rsidR="003A2FC9">
        <w:rPr>
          <w:b/>
          <w:bCs/>
        </w:rPr>
        <w:t xml:space="preserve"> </w:t>
      </w:r>
      <w:r w:rsidR="000B1614" w:rsidRPr="008624BB">
        <w:rPr>
          <w:b/>
          <w:bCs/>
        </w:rPr>
        <w:t>(Fiscal Year 2024 appropriation)</w:t>
      </w:r>
    </w:p>
    <w:p w14:paraId="3E016F60" w14:textId="50CF662F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Eunice Kennedy Shiver National Institute of Child Health and Human Development (NICHD)</w:t>
      </w:r>
      <w:r w:rsidR="00C548AE" w:rsidRPr="008624BB">
        <w:t xml:space="preserve"> (</w:t>
      </w:r>
      <w:r w:rsidR="00924417" w:rsidRPr="008624BB">
        <w:t>$1.76B)</w:t>
      </w:r>
    </w:p>
    <w:p w14:paraId="581A8C0B" w14:textId="10E3E6E4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Fogarty International Center (FIC)</w:t>
      </w:r>
      <w:r w:rsidR="000B1614" w:rsidRPr="008624BB">
        <w:t xml:space="preserve"> ($0.1B)</w:t>
      </w:r>
    </w:p>
    <w:p w14:paraId="0D7B577E" w14:textId="7BC57D11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Cancer Institute (NCI)</w:t>
      </w:r>
      <w:r w:rsidR="00C548AE" w:rsidRPr="008624BB">
        <w:t xml:space="preserve"> ($7.22B)</w:t>
      </w:r>
    </w:p>
    <w:p w14:paraId="4FD839EA" w14:textId="3416719E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Center for Accelerating Translational Sciences (NCATS)</w:t>
      </w:r>
      <w:r w:rsidR="000B1614" w:rsidRPr="008624BB">
        <w:t xml:space="preserve"> ($0.93B)</w:t>
      </w:r>
    </w:p>
    <w:p w14:paraId="3532A83D" w14:textId="57F834C3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Center for Complementary and Integrative Health (NCCIH)</w:t>
      </w:r>
      <w:r w:rsidR="000B1614" w:rsidRPr="008624BB">
        <w:t xml:space="preserve"> ($0.17B)</w:t>
      </w:r>
    </w:p>
    <w:p w14:paraId="736D0B04" w14:textId="45422B6C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Eye Institute (NEI)</w:t>
      </w:r>
      <w:r w:rsidR="000B1614" w:rsidRPr="008624BB">
        <w:t xml:space="preserve"> ($0.90B)</w:t>
      </w:r>
    </w:p>
    <w:p w14:paraId="394C9702" w14:textId="27942514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Heart, Lung and Blood Institute (NHLBI)</w:t>
      </w:r>
      <w:r w:rsidR="000B1614" w:rsidRPr="008624BB">
        <w:t xml:space="preserve"> ($3.98B)</w:t>
      </w:r>
    </w:p>
    <w:p w14:paraId="4A49F99F" w14:textId="7AD4AD85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Human Genome Research Institute (NHGRI)</w:t>
      </w:r>
      <w:r w:rsidR="000B1614" w:rsidRPr="008624BB">
        <w:t xml:space="preserve"> ($0.66B)</w:t>
      </w:r>
    </w:p>
    <w:p w14:paraId="12FA370F" w14:textId="78569FC4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Alcohol and Alcohol Abuse (NIAAA)</w:t>
      </w:r>
      <w:r w:rsidR="00212B8D" w:rsidRPr="008624BB">
        <w:t xml:space="preserve"> ($0.60B)</w:t>
      </w:r>
    </w:p>
    <w:p w14:paraId="241EFC50" w14:textId="06327936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Allergy and Infectious Diseases (NIAID)</w:t>
      </w:r>
      <w:r w:rsidR="00212B8D" w:rsidRPr="008624BB">
        <w:t xml:space="preserve"> ($6.52B)</w:t>
      </w:r>
    </w:p>
    <w:p w14:paraId="53C255F0" w14:textId="36847D88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Arthritis and Musculoskeletal and Skin Diseases (NIAMS)</w:t>
      </w:r>
      <w:r w:rsidR="00212B8D" w:rsidRPr="008624BB">
        <w:t xml:space="preserve"> ($0.69B)</w:t>
      </w:r>
    </w:p>
    <w:p w14:paraId="6167BFF6" w14:textId="2A4DEC06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Biomedical Imaging and Bioengineering (NIBIB)</w:t>
      </w:r>
      <w:r w:rsidR="00212B8D" w:rsidRPr="008624BB">
        <w:t xml:space="preserve"> ($0.44B)</w:t>
      </w:r>
    </w:p>
    <w:p w14:paraId="643C3029" w14:textId="40D82143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Dental and Craniofacial Research (NIDCR)</w:t>
      </w:r>
      <w:r w:rsidR="00212B8D" w:rsidRPr="008624BB">
        <w:t xml:space="preserve"> ($0.52B)</w:t>
      </w:r>
    </w:p>
    <w:p w14:paraId="74106F08" w14:textId="329D17EA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Diabetes and Digestive and Kidney Diseases (NID</w:t>
      </w:r>
      <w:r w:rsidR="00212B8D" w:rsidRPr="008624BB">
        <w:t>DK</w:t>
      </w:r>
      <w:r w:rsidRPr="008624BB">
        <w:t>)</w:t>
      </w:r>
      <w:r w:rsidR="00212B8D" w:rsidRPr="008624BB">
        <w:t xml:space="preserve"> ($2.51B)</w:t>
      </w:r>
    </w:p>
    <w:p w14:paraId="35807374" w14:textId="31F61313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Environmental Health Sciences (NIEHS)</w:t>
      </w:r>
      <w:r w:rsidR="00EB2A2D" w:rsidRPr="008624BB">
        <w:t xml:space="preserve"> ($0.99B)</w:t>
      </w:r>
    </w:p>
    <w:p w14:paraId="1BD9F233" w14:textId="772C4F05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General Medical Sciences (NIGMS)</w:t>
      </w:r>
      <w:r w:rsidR="00EB2A2D" w:rsidRPr="008624BB">
        <w:t xml:space="preserve"> ($3.24B)</w:t>
      </w:r>
    </w:p>
    <w:p w14:paraId="132D45D4" w14:textId="02BCE39D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Neurological Diseases and Stroke (NINDS)</w:t>
      </w:r>
      <w:r w:rsidR="000479C5" w:rsidRPr="008624BB">
        <w:t xml:space="preserve"> ($2.69B)</w:t>
      </w:r>
    </w:p>
    <w:p w14:paraId="4ADC8B70" w14:textId="7F4F19B7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of Nursing Research (NINR)</w:t>
      </w:r>
      <w:r w:rsidR="000479C5" w:rsidRPr="008624BB">
        <w:t xml:space="preserve"> ($0.20B)</w:t>
      </w:r>
    </w:p>
    <w:p w14:paraId="09DE3516" w14:textId="16ECABE6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on Aging (NIA)</w:t>
      </w:r>
      <w:r w:rsidR="000479C5" w:rsidRPr="008624BB">
        <w:t xml:space="preserve"> ($4.51B)</w:t>
      </w:r>
    </w:p>
    <w:p w14:paraId="2CA747F6" w14:textId="721B7E5B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on Deafness and other Communication Disorders (NIDCD)</w:t>
      </w:r>
      <w:r w:rsidR="00654D9E" w:rsidRPr="008624BB">
        <w:t xml:space="preserve"> ($0.53B)</w:t>
      </w:r>
    </w:p>
    <w:p w14:paraId="28808056" w14:textId="28C6EA69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on Drug Abuse (NIDA)</w:t>
      </w:r>
      <w:r w:rsidR="00654D9E" w:rsidRPr="008624BB">
        <w:t xml:space="preserve"> ($1.66B</w:t>
      </w:r>
    </w:p>
    <w:p w14:paraId="64C82028" w14:textId="5E3FED18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Institute on Mental Health (NIMH)</w:t>
      </w:r>
      <w:r w:rsidR="00654D9E" w:rsidRPr="008624BB">
        <w:t xml:space="preserve"> ($2.27B)</w:t>
      </w:r>
    </w:p>
    <w:p w14:paraId="6C869238" w14:textId="2904825F" w:rsidR="00AA684C" w:rsidRPr="008624BB" w:rsidRDefault="00AA684C" w:rsidP="00287031">
      <w:pPr>
        <w:spacing w:line="240" w:lineRule="auto"/>
        <w:ind w:left="-360" w:right="-720"/>
        <w:contextualSpacing/>
        <w:rPr>
          <w:b/>
          <w:bCs/>
        </w:rPr>
      </w:pPr>
      <w:r w:rsidRPr="008624BB">
        <w:t>National Institute on Minority Health and Health Disparities (NIMHD)</w:t>
      </w:r>
      <w:r w:rsidR="00654D9E" w:rsidRPr="008624BB">
        <w:t xml:space="preserve"> ($0.53B)</w:t>
      </w:r>
    </w:p>
    <w:p w14:paraId="01A45992" w14:textId="033F0EBD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National Library of Medicine (NLM)</w:t>
      </w:r>
      <w:r w:rsidR="00654D9E" w:rsidRPr="008624BB">
        <w:t xml:space="preserve"> ($0.50B)</w:t>
      </w:r>
    </w:p>
    <w:p w14:paraId="6A1E4B89" w14:textId="4349CEB6" w:rsidR="00E5344B" w:rsidRPr="008624BB" w:rsidRDefault="00E5344B" w:rsidP="00E5344B">
      <w:pPr>
        <w:spacing w:line="240" w:lineRule="auto"/>
        <w:ind w:left="-360" w:right="-720"/>
        <w:contextualSpacing/>
      </w:pPr>
      <w:r w:rsidRPr="008624BB">
        <w:t>Center for Scientific Review (CSR)</w:t>
      </w:r>
    </w:p>
    <w:p w14:paraId="516452C4" w14:textId="3F7165BB" w:rsidR="00AA684C" w:rsidRPr="008624BB" w:rsidRDefault="00AA684C" w:rsidP="00287031">
      <w:pPr>
        <w:spacing w:line="240" w:lineRule="auto"/>
        <w:ind w:left="-360" w:right="-720"/>
        <w:contextualSpacing/>
      </w:pPr>
      <w:r w:rsidRPr="008624BB">
        <w:t>Center for Information Technology (CIT)</w:t>
      </w:r>
    </w:p>
    <w:p w14:paraId="48ED445C" w14:textId="018BEBD8" w:rsidR="00AA684C" w:rsidRPr="008624BB" w:rsidRDefault="00AA684C" w:rsidP="00E5344B">
      <w:pPr>
        <w:spacing w:line="240" w:lineRule="auto"/>
        <w:ind w:left="-360" w:right="-720"/>
        <w:contextualSpacing/>
      </w:pPr>
      <w:r w:rsidRPr="008624BB">
        <w:t>Clinical Center (CC)</w:t>
      </w:r>
    </w:p>
    <w:p w14:paraId="0154D1A8" w14:textId="77777777" w:rsidR="00E5344B" w:rsidRPr="008624BB" w:rsidRDefault="00E5344B" w:rsidP="00E5344B">
      <w:pPr>
        <w:spacing w:line="240" w:lineRule="auto"/>
        <w:ind w:left="-360" w:right="-720"/>
        <w:contextualSpacing/>
      </w:pPr>
    </w:p>
    <w:p w14:paraId="79BA7884" w14:textId="6B80F972" w:rsidR="00287031" w:rsidRDefault="00BB177C" w:rsidP="00C548AE">
      <w:pPr>
        <w:ind w:left="-360" w:right="-720"/>
        <w:rPr>
          <w:b/>
          <w:bCs/>
        </w:rPr>
      </w:pPr>
      <w:r w:rsidRPr="008624BB">
        <w:rPr>
          <w:b/>
          <w:bCs/>
        </w:rPr>
        <w:t>Abbreviations</w:t>
      </w:r>
    </w:p>
    <w:p w14:paraId="073DCADA" w14:textId="77777777" w:rsidR="003A2FC9" w:rsidRPr="003A2FC9" w:rsidRDefault="003A2FC9" w:rsidP="003A2FC9">
      <w:pPr>
        <w:spacing w:line="240" w:lineRule="auto"/>
        <w:ind w:left="-360" w:right="-720"/>
        <w:contextualSpacing/>
        <w:rPr>
          <w:b/>
          <w:bCs/>
        </w:rPr>
      </w:pPr>
      <w:r w:rsidRPr="003A2FC9">
        <w:rPr>
          <w:b/>
          <w:bCs/>
        </w:rPr>
        <w:t xml:space="preserve">Two-letter abbreviations: </w:t>
      </w:r>
    </w:p>
    <w:p w14:paraId="02B54479" w14:textId="2259FDB6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NICHD</w:t>
      </w:r>
      <w:r>
        <w:t>:  HD</w:t>
      </w:r>
    </w:p>
    <w:p w14:paraId="7F108DED" w14:textId="2DDC0F60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FIC</w:t>
      </w:r>
      <w:r>
        <w:t>:  TW</w:t>
      </w:r>
    </w:p>
    <w:p w14:paraId="3921B13D" w14:textId="7D806861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NCI</w:t>
      </w:r>
      <w:r>
        <w:t>:  CA</w:t>
      </w:r>
    </w:p>
    <w:p w14:paraId="5C99508B" w14:textId="344E7BF2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NCATS</w:t>
      </w:r>
      <w:r>
        <w:t>:  TR</w:t>
      </w:r>
    </w:p>
    <w:p w14:paraId="00B3C71B" w14:textId="09C067B3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NCCIH</w:t>
      </w:r>
      <w:r>
        <w:t>:  AT</w:t>
      </w:r>
    </w:p>
    <w:p w14:paraId="0BEA0BC9" w14:textId="51CB9365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NEI</w:t>
      </w:r>
      <w:r>
        <w:t>:  EY</w:t>
      </w:r>
    </w:p>
    <w:p w14:paraId="2CD2E19C" w14:textId="38A51021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NHLBI</w:t>
      </w:r>
      <w:r>
        <w:t>:  HL</w:t>
      </w:r>
    </w:p>
    <w:p w14:paraId="3125D682" w14:textId="13653EEE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NHGRI</w:t>
      </w:r>
      <w:r>
        <w:t>:  HG</w:t>
      </w:r>
    </w:p>
    <w:p w14:paraId="13A2F73C" w14:textId="4D519C85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NIAAA</w:t>
      </w:r>
      <w:r>
        <w:t>:  AA</w:t>
      </w:r>
    </w:p>
    <w:p w14:paraId="6DF364E4" w14:textId="1E4104C3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NIAID</w:t>
      </w:r>
      <w:r>
        <w:t>:  AI</w:t>
      </w:r>
    </w:p>
    <w:p w14:paraId="2D7267D7" w14:textId="6291BB9B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NIAMS</w:t>
      </w:r>
      <w:r>
        <w:t>:  AR</w:t>
      </w:r>
    </w:p>
    <w:p w14:paraId="19067FA5" w14:textId="67D24B58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lastRenderedPageBreak/>
        <w:t>NIBIB</w:t>
      </w:r>
      <w:r>
        <w:t>:  EB</w:t>
      </w:r>
    </w:p>
    <w:p w14:paraId="295B9CEF" w14:textId="39B42A51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NIDCR</w:t>
      </w:r>
      <w:r>
        <w:t>:  DE</w:t>
      </w:r>
    </w:p>
    <w:p w14:paraId="3AA034F2" w14:textId="59258099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NIDDK</w:t>
      </w:r>
      <w:r>
        <w:t>:  DK</w:t>
      </w:r>
    </w:p>
    <w:p w14:paraId="2F1C03A1" w14:textId="621639AE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NIEHS</w:t>
      </w:r>
      <w:r>
        <w:t>:  ES</w:t>
      </w:r>
    </w:p>
    <w:p w14:paraId="60C3F78D" w14:textId="3BDB2895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NIGMS</w:t>
      </w:r>
      <w:r>
        <w:t>:  GM</w:t>
      </w:r>
    </w:p>
    <w:p w14:paraId="58FCC1AD" w14:textId="7FA83A04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NINDS</w:t>
      </w:r>
      <w:r>
        <w:t>:  NS</w:t>
      </w:r>
    </w:p>
    <w:p w14:paraId="739EE170" w14:textId="014A1E88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NINR</w:t>
      </w:r>
      <w:r>
        <w:t>:  NR</w:t>
      </w:r>
    </w:p>
    <w:p w14:paraId="313B6C7E" w14:textId="092B521D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NIA</w:t>
      </w:r>
      <w:r>
        <w:t>:  AG</w:t>
      </w:r>
    </w:p>
    <w:p w14:paraId="4FBDD957" w14:textId="5B4946B9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NIDCD</w:t>
      </w:r>
      <w:r>
        <w:t>:  DC</w:t>
      </w:r>
    </w:p>
    <w:p w14:paraId="4147C7F4" w14:textId="5451E654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NIDA</w:t>
      </w:r>
      <w:r>
        <w:t>:  DA</w:t>
      </w:r>
    </w:p>
    <w:p w14:paraId="79CEC450" w14:textId="3055515D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>NIMH</w:t>
      </w:r>
      <w:r>
        <w:t>:  MH</w:t>
      </w:r>
    </w:p>
    <w:p w14:paraId="0C4E27C1" w14:textId="70F45A24" w:rsidR="003A2FC9" w:rsidRPr="008624BB" w:rsidRDefault="003A2FC9" w:rsidP="003A2FC9">
      <w:pPr>
        <w:spacing w:line="240" w:lineRule="auto"/>
        <w:ind w:left="-360" w:right="-720"/>
        <w:contextualSpacing/>
        <w:rPr>
          <w:b/>
          <w:bCs/>
        </w:rPr>
      </w:pPr>
      <w:r w:rsidRPr="008624BB">
        <w:t>NIMHD</w:t>
      </w:r>
      <w:r>
        <w:t xml:space="preserve">:  </w:t>
      </w:r>
      <w:r w:rsidR="00AE500C">
        <w:t>MD</w:t>
      </w:r>
    </w:p>
    <w:p w14:paraId="2D57BFCD" w14:textId="7E340CCC" w:rsidR="003A2FC9" w:rsidRPr="008624BB" w:rsidRDefault="003A2FC9" w:rsidP="003A2FC9">
      <w:pPr>
        <w:spacing w:line="240" w:lineRule="auto"/>
        <w:ind w:left="-360" w:right="-720"/>
        <w:contextualSpacing/>
      </w:pPr>
      <w:r w:rsidRPr="008624BB">
        <w:t xml:space="preserve"> NLM</w:t>
      </w:r>
      <w:r>
        <w:t>:  LM</w:t>
      </w:r>
    </w:p>
    <w:p w14:paraId="378B596C" w14:textId="77777777" w:rsidR="003A2FC9" w:rsidRPr="008624BB" w:rsidRDefault="003A2FC9" w:rsidP="003A2FC9">
      <w:pPr>
        <w:ind w:right="-720"/>
        <w:rPr>
          <w:b/>
          <w:bCs/>
        </w:rPr>
      </w:pPr>
    </w:p>
    <w:p w14:paraId="7DD9A58C" w14:textId="77777777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OD: Office of the Director</w:t>
      </w:r>
    </w:p>
    <w:p w14:paraId="5023C55B" w14:textId="1DC73219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IC: Institute or Center</w:t>
      </w:r>
    </w:p>
    <w:p w14:paraId="7566024E" w14:textId="77777777" w:rsidR="008624BB" w:rsidRPr="008624BB" w:rsidRDefault="008624BB" w:rsidP="00BB177C">
      <w:pPr>
        <w:spacing w:line="240" w:lineRule="auto"/>
        <w:ind w:left="-360" w:right="-720"/>
        <w:contextualSpacing/>
      </w:pPr>
    </w:p>
    <w:p w14:paraId="17DC411B" w14:textId="0A2CD8D0" w:rsidR="008624BB" w:rsidRPr="008624BB" w:rsidRDefault="008624BB" w:rsidP="00BB177C">
      <w:pPr>
        <w:spacing w:line="240" w:lineRule="auto"/>
        <w:ind w:left="-360" w:right="-720"/>
        <w:contextualSpacing/>
        <w:rPr>
          <w:b/>
          <w:bCs/>
        </w:rPr>
      </w:pPr>
      <w:r w:rsidRPr="008624BB">
        <w:rPr>
          <w:b/>
          <w:bCs/>
        </w:rPr>
        <w:t>Positions</w:t>
      </w:r>
    </w:p>
    <w:p w14:paraId="3A87FFD5" w14:textId="7FBD6176" w:rsidR="00287031" w:rsidRPr="008624BB" w:rsidRDefault="00BB177C" w:rsidP="00BB177C">
      <w:pPr>
        <w:spacing w:line="240" w:lineRule="auto"/>
        <w:ind w:left="-360" w:right="-720"/>
        <w:contextualSpacing/>
      </w:pPr>
      <w:r w:rsidRPr="008624BB">
        <w:t>PO:</w:t>
      </w:r>
      <w:r w:rsidR="002D33D1" w:rsidRPr="008624BB">
        <w:t xml:space="preserve"> </w:t>
      </w:r>
      <w:r w:rsidRPr="008624BB">
        <w:t>Program Officer</w:t>
      </w:r>
      <w:r w:rsidR="008624BB">
        <w:t>: Doctorate level NIH staff member who interacts with applicants and grantees. Make recommendations about funding decisions.</w:t>
      </w:r>
    </w:p>
    <w:p w14:paraId="037A0EC9" w14:textId="5339329B" w:rsidR="00287031" w:rsidRPr="008624BB" w:rsidRDefault="00287031" w:rsidP="00BB177C">
      <w:pPr>
        <w:spacing w:line="240" w:lineRule="auto"/>
        <w:ind w:left="-360" w:right="-720"/>
        <w:contextualSpacing/>
      </w:pPr>
      <w:r w:rsidRPr="008624BB">
        <w:t>SRO</w:t>
      </w:r>
      <w:r w:rsidR="00BB177C" w:rsidRPr="008624BB">
        <w:t>: Scientific Review Officer</w:t>
      </w:r>
      <w:r w:rsidR="008624BB">
        <w:t>:  Doctorate level NIH staff member who organizes review meetings (study sections)</w:t>
      </w:r>
    </w:p>
    <w:p w14:paraId="7959AA1C" w14:textId="2D5E4C22" w:rsidR="00BB177C" w:rsidRDefault="00BB177C" w:rsidP="00BB177C">
      <w:pPr>
        <w:spacing w:line="240" w:lineRule="auto"/>
        <w:ind w:left="-360" w:right="-720"/>
        <w:contextualSpacing/>
      </w:pPr>
      <w:r w:rsidRPr="008624BB">
        <w:t>GMS: Grant Management Specialist</w:t>
      </w:r>
      <w:r w:rsidR="008624BB">
        <w:t>:  NIH staff with a business background who works with grantee institutional representatives and grantees to ensure that compliances are in place and terms and conditions in grants are appropriate.</w:t>
      </w:r>
    </w:p>
    <w:p w14:paraId="096BD957" w14:textId="32FA3B30" w:rsidR="008624BB" w:rsidRDefault="008624BB" w:rsidP="00BB177C">
      <w:pPr>
        <w:spacing w:line="240" w:lineRule="auto"/>
        <w:ind w:left="-360" w:right="-720"/>
        <w:contextualSpacing/>
      </w:pPr>
      <w:r>
        <w:t xml:space="preserve">IC Director: Senior leader of institute or center. </w:t>
      </w:r>
      <w:proofErr w:type="spellStart"/>
      <w:r>
        <w:t>Oversees</w:t>
      </w:r>
      <w:proofErr w:type="spellEnd"/>
      <w:r>
        <w:t xml:space="preserve"> operations and is ultimately responsible for funding decisions.</w:t>
      </w:r>
    </w:p>
    <w:p w14:paraId="33A14C1F" w14:textId="77777777" w:rsidR="008624BB" w:rsidRDefault="008624BB" w:rsidP="00BB177C">
      <w:pPr>
        <w:spacing w:line="240" w:lineRule="auto"/>
        <w:ind w:left="-360" w:right="-720"/>
        <w:contextualSpacing/>
      </w:pPr>
    </w:p>
    <w:p w14:paraId="5B31CFB0" w14:textId="4D736AC6" w:rsidR="008624BB" w:rsidRPr="008624BB" w:rsidRDefault="008624BB" w:rsidP="00BB177C">
      <w:pPr>
        <w:spacing w:line="240" w:lineRule="auto"/>
        <w:ind w:left="-360" w:right="-720"/>
        <w:contextualSpacing/>
        <w:rPr>
          <w:b/>
          <w:bCs/>
        </w:rPr>
      </w:pPr>
      <w:r w:rsidRPr="008624BB">
        <w:rPr>
          <w:b/>
          <w:bCs/>
        </w:rPr>
        <w:t>Terms (useful for NIH Reporter (</w:t>
      </w:r>
      <w:hyperlink r:id="rId4" w:history="1">
        <w:r w:rsidRPr="008624BB">
          <w:rPr>
            <w:rStyle w:val="Hyperlink"/>
            <w:b/>
            <w:bCs/>
          </w:rPr>
          <w:t>https://reporter.nih.gov/</w:t>
        </w:r>
      </w:hyperlink>
      <w:r w:rsidRPr="008624BB">
        <w:rPr>
          <w:b/>
          <w:bCs/>
        </w:rPr>
        <w:t>) database</w:t>
      </w:r>
    </w:p>
    <w:p w14:paraId="13DDAC66" w14:textId="4B1CF0A5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Type 1: New grant</w:t>
      </w:r>
    </w:p>
    <w:p w14:paraId="733AF970" w14:textId="420F3F04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Type 2: Competitive renewal</w:t>
      </w:r>
    </w:p>
    <w:p w14:paraId="0BF55297" w14:textId="027CA68F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Type 5: Non-competitive renewal</w:t>
      </w:r>
    </w:p>
    <w:p w14:paraId="5AD5BCC7" w14:textId="6F8D55A4" w:rsidR="00BB177C" w:rsidRDefault="00BB177C" w:rsidP="00BB177C">
      <w:pPr>
        <w:spacing w:line="240" w:lineRule="auto"/>
        <w:ind w:left="-360" w:right="-720"/>
        <w:contextualSpacing/>
      </w:pPr>
      <w:r w:rsidRPr="008624BB">
        <w:t>Activity code: Grants mechanism e.g.R01, T32, etc.</w:t>
      </w:r>
    </w:p>
    <w:p w14:paraId="67B8DA04" w14:textId="77777777" w:rsidR="008624BB" w:rsidRDefault="008624BB" w:rsidP="00BB177C">
      <w:pPr>
        <w:spacing w:line="240" w:lineRule="auto"/>
        <w:ind w:left="-360" w:right="-720"/>
        <w:contextualSpacing/>
      </w:pPr>
    </w:p>
    <w:p w14:paraId="0077B983" w14:textId="53C37806" w:rsidR="008624BB" w:rsidRPr="008624BB" w:rsidRDefault="008624BB" w:rsidP="00BB177C">
      <w:pPr>
        <w:spacing w:line="240" w:lineRule="auto"/>
        <w:ind w:left="-360" w:right="-720"/>
        <w:contextualSpacing/>
        <w:rPr>
          <w:b/>
          <w:bCs/>
        </w:rPr>
      </w:pPr>
      <w:r w:rsidRPr="008624BB">
        <w:rPr>
          <w:b/>
          <w:bCs/>
        </w:rPr>
        <w:t>Committees and Groups</w:t>
      </w:r>
    </w:p>
    <w:p w14:paraId="18F8AF2F" w14:textId="42A8B927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GMAC: Grant Management Advisory committee</w:t>
      </w:r>
    </w:p>
    <w:p w14:paraId="265A7D81" w14:textId="50C72B9C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EAWG: Extramural Activities Working Group</w:t>
      </w:r>
    </w:p>
    <w:p w14:paraId="6386CDF3" w14:textId="386090C5" w:rsidR="00BB177C" w:rsidRPr="008624BB" w:rsidRDefault="00BB177C" w:rsidP="00BB177C">
      <w:pPr>
        <w:spacing w:line="240" w:lineRule="auto"/>
        <w:ind w:left="-360" w:right="-720"/>
        <w:contextualSpacing/>
      </w:pPr>
      <w:r w:rsidRPr="008624BB">
        <w:t>MBWG: Management and Budget Working Group</w:t>
      </w:r>
    </w:p>
    <w:p w14:paraId="66471C73" w14:textId="4090FFBE" w:rsidR="002D33D1" w:rsidRPr="008624BB" w:rsidRDefault="002D33D1" w:rsidP="00BB177C">
      <w:pPr>
        <w:spacing w:line="240" w:lineRule="auto"/>
        <w:ind w:left="-360" w:right="-720"/>
        <w:contextualSpacing/>
      </w:pPr>
      <w:r w:rsidRPr="008624BB">
        <w:t>ACD: Advisory Committee to the Director</w:t>
      </w:r>
    </w:p>
    <w:p w14:paraId="56476D11" w14:textId="41BCC604" w:rsidR="00BB177C" w:rsidRPr="008624BB" w:rsidRDefault="002D33D1" w:rsidP="00706051">
      <w:pPr>
        <w:spacing w:line="240" w:lineRule="auto"/>
        <w:ind w:left="-360" w:right="-720"/>
        <w:contextualSpacing/>
      </w:pPr>
      <w:r w:rsidRPr="008624BB">
        <w:t>IRP: Intramural Program</w:t>
      </w:r>
    </w:p>
    <w:sectPr w:rsidR="00BB177C" w:rsidRPr="008624BB" w:rsidSect="0000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35"/>
    <w:rsid w:val="00000C04"/>
    <w:rsid w:val="0000276B"/>
    <w:rsid w:val="00027690"/>
    <w:rsid w:val="00037799"/>
    <w:rsid w:val="000479C5"/>
    <w:rsid w:val="0005082D"/>
    <w:rsid w:val="000604F6"/>
    <w:rsid w:val="00074B19"/>
    <w:rsid w:val="000A121D"/>
    <w:rsid w:val="000A2A5E"/>
    <w:rsid w:val="000B1614"/>
    <w:rsid w:val="000C6AAD"/>
    <w:rsid w:val="000E0752"/>
    <w:rsid w:val="000F4093"/>
    <w:rsid w:val="0010157C"/>
    <w:rsid w:val="001149D9"/>
    <w:rsid w:val="00130D53"/>
    <w:rsid w:val="00140C30"/>
    <w:rsid w:val="00141DDC"/>
    <w:rsid w:val="00144079"/>
    <w:rsid w:val="00147416"/>
    <w:rsid w:val="00147FEE"/>
    <w:rsid w:val="00156841"/>
    <w:rsid w:val="00162CA1"/>
    <w:rsid w:val="00181ED3"/>
    <w:rsid w:val="001849B0"/>
    <w:rsid w:val="001A78C7"/>
    <w:rsid w:val="001B2C20"/>
    <w:rsid w:val="001B65C5"/>
    <w:rsid w:val="00212B8D"/>
    <w:rsid w:val="00225B4B"/>
    <w:rsid w:val="00227622"/>
    <w:rsid w:val="00247D51"/>
    <w:rsid w:val="00252819"/>
    <w:rsid w:val="0026363B"/>
    <w:rsid w:val="002642AF"/>
    <w:rsid w:val="00286FEE"/>
    <w:rsid w:val="00287031"/>
    <w:rsid w:val="00287B86"/>
    <w:rsid w:val="002A5318"/>
    <w:rsid w:val="002D33D1"/>
    <w:rsid w:val="002D6F02"/>
    <w:rsid w:val="003310FF"/>
    <w:rsid w:val="00333E0E"/>
    <w:rsid w:val="00352BDA"/>
    <w:rsid w:val="00373DD1"/>
    <w:rsid w:val="003A10D0"/>
    <w:rsid w:val="003A2FC9"/>
    <w:rsid w:val="003A4606"/>
    <w:rsid w:val="003B43FD"/>
    <w:rsid w:val="003C0AD1"/>
    <w:rsid w:val="003D14C7"/>
    <w:rsid w:val="00401F84"/>
    <w:rsid w:val="00432E1B"/>
    <w:rsid w:val="00460FDC"/>
    <w:rsid w:val="00480056"/>
    <w:rsid w:val="00487336"/>
    <w:rsid w:val="004902F5"/>
    <w:rsid w:val="0049537F"/>
    <w:rsid w:val="004A1F4A"/>
    <w:rsid w:val="004D7233"/>
    <w:rsid w:val="004E1FF2"/>
    <w:rsid w:val="004F23AA"/>
    <w:rsid w:val="004F53D4"/>
    <w:rsid w:val="005702AB"/>
    <w:rsid w:val="005829B8"/>
    <w:rsid w:val="00584ADC"/>
    <w:rsid w:val="0058782B"/>
    <w:rsid w:val="005B079D"/>
    <w:rsid w:val="005C7E78"/>
    <w:rsid w:val="005F5538"/>
    <w:rsid w:val="00604FB2"/>
    <w:rsid w:val="006077C0"/>
    <w:rsid w:val="00654D9E"/>
    <w:rsid w:val="006557B5"/>
    <w:rsid w:val="00662B80"/>
    <w:rsid w:val="006753FE"/>
    <w:rsid w:val="006822FC"/>
    <w:rsid w:val="00693FD1"/>
    <w:rsid w:val="006E0C26"/>
    <w:rsid w:val="006F6697"/>
    <w:rsid w:val="00705D5F"/>
    <w:rsid w:val="00706051"/>
    <w:rsid w:val="00713A9F"/>
    <w:rsid w:val="00725538"/>
    <w:rsid w:val="00744819"/>
    <w:rsid w:val="00755F06"/>
    <w:rsid w:val="007655F2"/>
    <w:rsid w:val="00772CB6"/>
    <w:rsid w:val="00777BA3"/>
    <w:rsid w:val="007C025E"/>
    <w:rsid w:val="007C4D7F"/>
    <w:rsid w:val="007F6EE7"/>
    <w:rsid w:val="008104A9"/>
    <w:rsid w:val="0083515A"/>
    <w:rsid w:val="00847D74"/>
    <w:rsid w:val="00852A4D"/>
    <w:rsid w:val="00853470"/>
    <w:rsid w:val="00856B34"/>
    <w:rsid w:val="008624BB"/>
    <w:rsid w:val="00870EA2"/>
    <w:rsid w:val="00880E53"/>
    <w:rsid w:val="00880E80"/>
    <w:rsid w:val="00881154"/>
    <w:rsid w:val="008C5A62"/>
    <w:rsid w:val="008D7472"/>
    <w:rsid w:val="008E0EA8"/>
    <w:rsid w:val="008E5E51"/>
    <w:rsid w:val="008E6C99"/>
    <w:rsid w:val="008F474C"/>
    <w:rsid w:val="0090002B"/>
    <w:rsid w:val="00924417"/>
    <w:rsid w:val="00947E8F"/>
    <w:rsid w:val="0098278F"/>
    <w:rsid w:val="009C4938"/>
    <w:rsid w:val="009C7B83"/>
    <w:rsid w:val="009D3DF8"/>
    <w:rsid w:val="009D6619"/>
    <w:rsid w:val="00A1360A"/>
    <w:rsid w:val="00A169AF"/>
    <w:rsid w:val="00A2107D"/>
    <w:rsid w:val="00A2409B"/>
    <w:rsid w:val="00A24935"/>
    <w:rsid w:val="00A26974"/>
    <w:rsid w:val="00A42DB4"/>
    <w:rsid w:val="00A50F2A"/>
    <w:rsid w:val="00A604FF"/>
    <w:rsid w:val="00A709AD"/>
    <w:rsid w:val="00A73710"/>
    <w:rsid w:val="00AA5ACC"/>
    <w:rsid w:val="00AA684C"/>
    <w:rsid w:val="00AB1241"/>
    <w:rsid w:val="00AB2BB2"/>
    <w:rsid w:val="00AB48E6"/>
    <w:rsid w:val="00AC7D91"/>
    <w:rsid w:val="00AD322A"/>
    <w:rsid w:val="00AE500C"/>
    <w:rsid w:val="00B02467"/>
    <w:rsid w:val="00B32208"/>
    <w:rsid w:val="00B47242"/>
    <w:rsid w:val="00B51250"/>
    <w:rsid w:val="00B54064"/>
    <w:rsid w:val="00B95FE4"/>
    <w:rsid w:val="00BB177C"/>
    <w:rsid w:val="00BF1731"/>
    <w:rsid w:val="00BF5CC1"/>
    <w:rsid w:val="00C130D7"/>
    <w:rsid w:val="00C3545E"/>
    <w:rsid w:val="00C36778"/>
    <w:rsid w:val="00C44142"/>
    <w:rsid w:val="00C4576C"/>
    <w:rsid w:val="00C548AE"/>
    <w:rsid w:val="00C90665"/>
    <w:rsid w:val="00CA56E7"/>
    <w:rsid w:val="00CB1C2C"/>
    <w:rsid w:val="00D23D15"/>
    <w:rsid w:val="00D24666"/>
    <w:rsid w:val="00D35DBE"/>
    <w:rsid w:val="00D364AE"/>
    <w:rsid w:val="00D43EDB"/>
    <w:rsid w:val="00D4427C"/>
    <w:rsid w:val="00D53568"/>
    <w:rsid w:val="00D5659F"/>
    <w:rsid w:val="00D611CF"/>
    <w:rsid w:val="00D6337A"/>
    <w:rsid w:val="00D728C0"/>
    <w:rsid w:val="00D83844"/>
    <w:rsid w:val="00D9469C"/>
    <w:rsid w:val="00D95B01"/>
    <w:rsid w:val="00DB2873"/>
    <w:rsid w:val="00DE2AAB"/>
    <w:rsid w:val="00DF1504"/>
    <w:rsid w:val="00DF2AD2"/>
    <w:rsid w:val="00E00114"/>
    <w:rsid w:val="00E07856"/>
    <w:rsid w:val="00E10D32"/>
    <w:rsid w:val="00E11686"/>
    <w:rsid w:val="00E50FD9"/>
    <w:rsid w:val="00E5344B"/>
    <w:rsid w:val="00E60975"/>
    <w:rsid w:val="00E730D0"/>
    <w:rsid w:val="00E73809"/>
    <w:rsid w:val="00EB2A2D"/>
    <w:rsid w:val="00EC4E9E"/>
    <w:rsid w:val="00EC76DC"/>
    <w:rsid w:val="00EE2D41"/>
    <w:rsid w:val="00F12A69"/>
    <w:rsid w:val="00F2166F"/>
    <w:rsid w:val="00F27DBB"/>
    <w:rsid w:val="00F42D1E"/>
    <w:rsid w:val="00F60716"/>
    <w:rsid w:val="00F676C2"/>
    <w:rsid w:val="00F70816"/>
    <w:rsid w:val="00F80899"/>
    <w:rsid w:val="00F83A34"/>
    <w:rsid w:val="00F95C6B"/>
    <w:rsid w:val="00FA244E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22363"/>
  <w15:chartTrackingRefBased/>
  <w15:docId w15:val="{410223F9-1C0C-3641-A57F-47F4E12D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rter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</dc:creator>
  <cp:keywords/>
  <dc:description/>
  <cp:lastModifiedBy>Jeremy Berg</cp:lastModifiedBy>
  <cp:revision>13</cp:revision>
  <dcterms:created xsi:type="dcterms:W3CDTF">2025-03-21T18:52:00Z</dcterms:created>
  <dcterms:modified xsi:type="dcterms:W3CDTF">2025-05-07T11:41:00Z</dcterms:modified>
</cp:coreProperties>
</file>