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392A4C"/>
          <w:sz w:val="44"/>
          <w:szCs w:val="44"/>
        </w:rPr>
        <w:t xml:space="preserve">FacultyFlow AI</w:t>
      </w:r>
    </w:p>
    <w:p>
      <w:pPr>
        <w:spacing w:after="60"/>
      </w:pPr>
      <w:r>
        <w:rPr>
          <w:color w:val="555555"/>
          <w:sz w:val="28"/>
          <w:szCs w:val="28"/>
        </w:rPr>
        <w:t xml:space="preserve">School Data (SIS/MIS) Integration Plan</w:t>
      </w:r>
    </w:p>
    <w:p>
      <w:pPr>
        <w:spacing w:after="400"/>
      </w:pPr>
      <w:r>
        <w:rPr>
          <w:color w:val="888888"/>
          <w:sz w:val="20"/>
          <w:szCs w:val="20"/>
        </w:rPr>
        <w:t xml:space="preserve">Prepared for Jérémy Everitt — 6 July 2026</w:t>
      </w:r>
    </w:p>
    <w:p>
      <w:pPr>
        <w:pStyle w:val="Heading1"/>
      </w:pPr>
      <w:r>
        <w:t xml:space="preserve">1. Purpose</w:t>
      </w:r>
    </w:p>
    <w:p>
      <w:pPr>
        <w:spacing w:after="160"/>
      </w:pPr>
      <w:r>
        <w:t xml:space="preserve">Today, every field a teacher sees in FacultyFlow AI (target grade, attendance, contributions, support needs) is typed in by hand. For a single class this is manageable; for a whole-school rollout it is a bottleneck, and it means the AI is writing reports from a teacher's memory rather than from the school's actual records. Schools considering FacultyFlow AI will ask one of two questions: "can it pull our data out of our MIS?" or "can we put it inside our MIS?" This document plans for both, recommends an order, and sets out the security work each one requires before it can touch a real child's data.</w:t>
      </w:r>
    </w:p>
    <w:p>
      <w:pPr>
        <w:spacing w:after="160"/>
      </w:pPr>
      <w:r>
        <w:t xml:space="preserve">Throughout this document, "SIS" and "MIS" are used interchangeably to mean the school's core record system: SIMS, Arbor, Bromcom and ScholarPack in the UK; PowerSchool, Infinite Campus and Skyward in the US, and equivalents elsewhere.</w:t>
      </w:r>
    </w:p>
    <w:p>
      <w:pPr>
        <w:pStyle w:val="Heading1"/>
        <w:pageBreakBefore/>
      </w:pPr>
      <w:r>
        <w:t xml:space="preserve">2. Two Integration Models</w:t>
      </w:r>
    </w:p>
    <w:p>
      <w:pPr>
        <w:pStyle w:val="Heading2"/>
      </w:pPr>
      <w:r>
        <w:t xml:space="preserve">Model A — "Connect Out" (recommended first step)</w:t>
      </w:r>
    </w:p>
    <w:p>
      <w:pPr>
        <w:spacing w:after="160"/>
      </w:pPr>
      <w:r>
        <w:t xml:space="preserve">FacultyFlow AI, still running as a desktop app on the teacher's machine, reads live data from the school's SIS through an API and uses it to pre-fill and ground the AI prompt: attendance percentage, behaviour points, recent assessment grades, and SEN/support flags, instead of the teacher typing an attendance radio button from memory. This fits directly on top of the existing architecture (the project's own design notes already reserve a slot for this: ISchoolDatabaseService, feeding a StudentAcademicStats model into the prompt builder) and can be built incrementally without changing what the app fundamentally is.</w:t>
      </w:r>
    </w:p>
    <w:p>
      <w:pPr>
        <w:pStyle w:val="Heading2"/>
      </w:pPr>
      <w:r>
        <w:t xml:space="preserve">Model B — "Embed In" (longer-term, bigger bet)</w:t>
      </w:r>
    </w:p>
    <w:p>
      <w:pPr>
        <w:spacing w:after="160"/>
      </w:pPr>
      <w:r>
        <w:t xml:space="preserve">FacultyFlow AI is published as an app inside the school's own platform, for example through Arbor's App Marketplace, Bromcom's Partner Portal, or PowerSchool's Unified Classroom store, so a teacher opens it from within the system they already live in all day, with single sign-on and no separate desktop install. This is the more compelling pitch to a Head Teacher or IT Director, but it is a materially different product: it requires a hosted, always-on web backend, formal certification with each MIS vendor, and ongoing maintenance of several separate marketplace listings.</w:t>
      </w:r>
    </w:p>
    <w:p>
      <w:pPr>
        <w:spacing w:after="160"/>
      </w:pPr>
      <w:r>
        <w:t xml:space="preserve">Recommendation: build Model A first. It is achievable inside the current architecture, delivers the most valuable outcome (accurate, low-effort reports) fastest, and de-risks Model B by proving demand before committing to a full backend rebuild. Model B should be scoped as a distinct, later product decision, not bundled into the same release.</w:t>
      </w:r>
    </w:p>
    <w:p>
      <w:pPr>
        <w:pStyle w:val="Heading1"/>
        <w:pageBreakBefore/>
      </w:pPr>
      <w:r>
        <w:t xml:space="preserve">3. Recommended Architecture for Model A</w:t>
      </w:r>
    </w:p>
    <w:p>
      <w:pPr>
        <w:spacing w:after="160"/>
      </w:pPr>
      <w:r>
        <w:t xml:space="preserve">The app already has a clean precedent for this exact problem: IAiService, with one small interface and four interchangeable provider implementations (NVIDIA, Gemini, OpenAI, Claude), selected at runtime by the orchestrator. School data integration should follow the identical pattern rather than inventing a new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Component</w:t>
            </w:r>
          </w:p>
        </w:tc>
        <w:tc>
          <w:tcPr>
            <w:tcW w:type="dxa" w:w="71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Design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ISchoolDatabaseService</w:t>
            </w:r>
          </w:p>
        </w:tc>
        <w:tc>
          <w:tcPr>
            <w:tcW w:type="dxa" w:w="71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New interface with one method: Task&lt;StudentAcademicStats?&gt; GetStudentStatsAsync(string studentId). Mirrors IAiService exactly.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StudentAcademicStats (new model)</w:t>
            </w:r>
          </w:p>
        </w:tc>
        <w:tc>
          <w:tcPr>
            <w:tcW w:type="dxa" w:w="71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AttendancePercent, BehaviourPoints, RecentGrades (per subject), SupportPlanSummary, TargetGrade, LastSyncedUtc.</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Provider implementations</w:t>
            </w:r>
          </w:p>
        </w:tc>
        <w:tc>
          <w:tcPr>
            <w:tcW w:type="dxa" w:w="71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WondeSchoolDatabaseService (UK: SIMS/Arbor/Bromcom/ScholarPack via one aggregator), OneRosterSchoolDatabaseService (US/international standard), ClasslinkSchoolDatabaseService / CleverSchoolDatabaseService (US rostering + SSO), and ManualEntrySchoolDatabaseService (a null-object that simply returns nothing — today's behaviour, kept as the zero-config default for schools with no connection configured).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SchoolDataOrchestratorService</w:t>
            </w:r>
          </w:p>
        </w:tc>
        <w:tc>
          <w:tcPr>
            <w:tcW w:type="dxa" w:w="71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New thin orchestrator, parallel to ReportOrchestratorService, resolved via DI, chosen by a new SchoolDataProvider setting.</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Local cache</w:t>
            </w:r>
          </w:p>
        </w:tc>
        <w:tc>
          <w:tcPr>
            <w:tcW w:type="dxa" w:w="71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 new encrypted cache file (same DPAPI pattern as HistoryDatabaseService), storing last-synced StudentAcademicStats per student with a timestamp, so the app still works when the SIS is briefly unreachable.</w:t>
            </w:r>
          </w:p>
        </w:tc>
      </w:tr>
    </w:tbl>
    <w:p>
      <w:pPr>
        <w:spacing w:after="160"/>
      </w:pPr>
      <w:r>
        <w:t xml:space="preserve">At report-generation time, MainViewModel would call the new orchestrator before building the ReportRequest, populate TargetGrade/SupportNeeds/AttendancePercent/BehaviourPoints from the live (or cached) result if one exists, and only fall back to the teacher's manual entry if no connection is configured or the student cannot be matched. This directly serves the stated goal of grounding AI prompts in verified fact rather than teacher recollection.</w:t>
      </w:r>
    </w:p>
    <w:p>
      <w:pPr>
        <w:spacing w:after="160"/>
      </w:pPr>
      <w:r>
        <w:t xml:space="preserve">This also requires upgrading student identity: StudentProfile.Id is currently a randomly generated Guid, and students are matched between screens by fuzzy, case-insensitive name comparison. Once a real SIS is the source of truth, StudentProfile.Id should instead hold the SIS's own stable pupil identifier (UPN in the UK, State Student ID in the US), so a student who changes their preferred name, or two students who share a name, are never confused.</w:t>
      </w:r>
    </w:p>
    <w:p>
      <w:pPr>
        <w:pStyle w:val="Heading1"/>
        <w:pageBreakBefore/>
      </w:pPr>
      <w:r>
        <w:t xml:space="preserve">4. Provider &amp; Standards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Region</w:t>
            </w:r>
          </w:p>
        </w:tc>
        <w:tc>
          <w:tcPr>
            <w:tcW w:type="dxa" w:w="3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Recommended route</w:t>
            </w:r>
          </w:p>
        </w:tc>
        <w:tc>
          <w:tcPr>
            <w:tcW w:type="dxa" w:w="46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Why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UK</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Wonde</w:t>
            </w:r>
          </w:p>
        </w:tc>
        <w:tc>
          <w:tcPr>
            <w:tcW w:type="dxa" w:w="4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Wonde is a single aggregator API that already sits in front of SIMS, Arbor, Bromcom, ScholarPack and several smaller UK MIS platforms. Integrating once against Wonde covers the large majority of the UK school market, rather than building and maintaining four separate native connectors.</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US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OneRoster 1.2, via Clever or ClassLink</w:t>
            </w:r>
          </w:p>
        </w:tc>
        <w:tc>
          <w:tcPr>
            <w:tcW w:type="dxa" w:w="4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OneRoster (from 1EdTech) is the standard rostering/gradebook API most US SIS platforms expose, and Clever/ClassLink are the de facto rostering and single-sign-on layer most US districts already use to broker that access, so most schools' IT teams will recognise the request immediately.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International / other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OneRoster where available; CSV fallback otherwise</w:t>
            </w:r>
          </w:p>
        </w:tc>
        <w:tc>
          <w:tcPr>
            <w:tcW w:type="dxa" w:w="4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OneRoster has international adoption beyond the US. Where no API exists, the existing CSV import already in the app remains the universal fallback and should be kept, not retired.</w:t>
            </w:r>
          </w:p>
        </w:tc>
      </w:tr>
    </w:tbl>
    <w:p>
      <w:pPr>
        <w:pStyle w:val="Heading1"/>
        <w:pageBreakBefore/>
      </w:pPr>
      <w:r>
        <w:t xml:space="preserve">5. Security, Privacy &amp; Compliance</w:t>
      </w:r>
    </w:p>
    <w:p>
      <w:pPr>
        <w:spacing w:after="160"/>
      </w:pPr>
      <w:r>
        <w:t xml:space="preserve">This is the part of the plan that should not be rushed. Attendance, behaviour and SEN/support data are more sensitive than the free-text notes a teacher already types today, precisely because they come from an authoritative system of record, and because SEN/support data in particular is close to a special category of data under both UK and US frameworks. The following must be in place before any pilot school connects real student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Requirement</w:t>
            </w:r>
          </w:p>
        </w:tc>
        <w:tc>
          <w:tcPr>
            <w:tcW w:type="dxa" w:w="73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Detail</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Written agreement per school</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UK: a Data Processing Agreement plus a school-side Data Protection Impact Assessment (DPIA) before rollout, since this is processing children's data at a new, richer level of detail. US: a signed Data Privacy Agreement, ideally aligned to the Student Data Privacy Consortium's standard template that most US districts already expect vendors to sign.</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FERPA "school official" basis (US)</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school, not FacultyFlow, remains responsible for the data under FERPA. Any contract must state the data is used only for the purpose the school authorised, is never re-disclosed, and is never used for data mining, profiling, or advertising.</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Granular, opt-in data categories</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Add a per-category toggle in the admin settings (e.g. "Include attendance in AI prompts", "Include SEN/support summary in AI prompts") so a school's Data Protection Officer can choose exactly what is allowed to leave the building and reach a third-party AI provider, rather than an all-or-nothing switch.</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Data minimisation</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Only fetch the specific fields a report needs, on demand, for the specific student being written about. Never bulk-mirror a school's full roster or gradebook into local storage.</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Encryption &amp; retention</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Cached SIS data encrypted at rest using the same DPAPI approach as existing settings/history; add a configurable retention window (e.g. purge cached stats after the current reporting term ends) rather than keeping them indefinitely.</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Audit trail</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Log which teacher account accessed which student's SIS-sourced data and when. Schools will ask for this during a DPIA, and it is also good safeguarding practice.</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Sub-processor transparency</w:t>
            </w:r>
          </w:p>
        </w:tc>
        <w:tc>
          <w:tcPr>
            <w:tcW w:type="dxa" w:w="7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Publish a plain-English list of every third party that ever touches student data: the chosen SIS aggregator (Wonde / Clever / ClassLink) and the AI provider currently selected (NVIDIA, Google, OpenAI or Anthropic). Schools' compliance teams will ask for this list before signing anything.</w:t>
            </w:r>
          </w:p>
        </w:tc>
      </w:tr>
    </w:tbl>
    <w:p>
      <w:pPr>
        <w:pStyle w:val="Heading1"/>
        <w:pageBreakBefore/>
      </w:pPr>
      <w:r>
        <w:t xml:space="preserve">6. Credential Management &amp; the IT/Teacher Split</w:t>
      </w:r>
    </w:p>
    <w:p>
      <w:pPr>
        <w:spacing w:after="160"/>
      </w:pPr>
      <w:r>
        <w:t xml:space="preserve">SIS and MIS API credentials belong to the school or district, not to an individual teacher, and are usually issued once by an IT manager or data lead. Today's settings screen conflates "my personal AI API key" with "school configuration" in one tab; that will not work once SIS credentials are added, because a class teacher should never be handling district-level API secrets.</w:t>
      </w:r>
    </w:p>
    <w:p>
      <w:pPr>
        <w:spacing w:after="160"/>
      </w:pPr>
      <w:r>
        <w:t xml:space="preserve">Recommended change: split Settings into two tiers behind the existing master-password lock. A School Connection tab (IT/data-manager only) holds the SIS provider choice and its API credentials, entered once per school. A Personal tab keeps each teacher's own AI provider preferences as it does today. For schools with several teachers sharing one installation or district-managed image, this also opens the door to a lightweight central relay (a small hosted service holding the school's SIS credentials, issuing a short-lived, scoped token to each teacher's desktop app) so that raw SIS credentials are never stored on every individual laptop, only a single school-level configuration is. This relay is a small, focused piece of Model B rather than the full embedded product, and is worth scoping early since it solves a real credential-distribution problem even if the full embedded marketplace app never ships.</w:t>
      </w:r>
    </w:p>
    <w:p>
      <w:pPr>
        <w:pStyle w:val="Heading1"/>
        <w:pageBreakBefore/>
      </w:pPr>
      <w:r>
        <w:t xml:space="preserve">7. Sync Strategy &amp; Failure Behaviour</w:t>
      </w:r>
    </w:p>
    <w:p>
      <w:pPr>
        <w:pStyle w:val="ListParagraph"/>
        <w:numPr>
          <w:ilvl w:val="0"/>
          <w:numId w:val="2"/>
        </w:numPr>
        <w:spacing w:after="80"/>
      </w:pPr>
      <w:r>
        <w:t xml:space="preserve">On first connection, and then nightly (matching how most MIS platforms themselves batch-update, per Wonde's own documented sync cadence), pull and cache StudentAcademicStats for the current roster.</w:t>
      </w:r>
    </w:p>
    <w:p>
      <w:pPr>
        <w:pStyle w:val="ListParagraph"/>
        <w:numPr>
          <w:ilvl w:val="0"/>
          <w:numId w:val="2"/>
        </w:numPr>
        <w:spacing w:after="80"/>
      </w:pPr>
      <w:r>
        <w:t xml:space="preserve">Add a manual "Sync Now" button in the School Connection tab for a teacher who needs fresh data immediately (e.g. right before parents' evening).</w:t>
      </w:r>
    </w:p>
    <w:p>
      <w:pPr>
        <w:pStyle w:val="ListParagraph"/>
        <w:numPr>
          <w:ilvl w:val="0"/>
          <w:numId w:val="2"/>
        </w:numPr>
        <w:spacing w:after="80"/>
      </w:pPr>
      <w:r>
        <w:t xml:space="preserve">If the SIS or aggregator is unreachable at report-generation time, silently fall back to the last cached values and show a small, honest "Last synced: 3 days ago" indicator rather than blocking report generation or pretending the data is live.</w:t>
      </w:r>
    </w:p>
    <w:p>
      <w:pPr>
        <w:pStyle w:val="ListParagraph"/>
        <w:numPr>
          <w:ilvl w:val="0"/>
          <w:numId w:val="2"/>
        </w:numPr>
        <w:spacing w:after="80"/>
      </w:pPr>
      <w:r>
        <w:t xml:space="preserve">If a student cannot be matched in the SIS (new starter, name mismatch), fall back to today's manual-entry fields with no error shown, since manual entry must always remain a fully supported path, not just a fallback for outages.</w:t>
      </w:r>
    </w:p>
    <w:p>
      <w:pPr>
        <w:pStyle w:val="Heading1"/>
        <w:pageBreakBefore/>
      </w:pPr>
      <w:r>
        <w:t xml:space="preserve">8. Phased Rollout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60"/>
      </w:tblGrid>
      <w:tr>
        <w:trPr>
          <w:tblHeader/>
        </w:trPr>
        <w:tc>
          <w:tcPr>
            <w:tcW w:type="dxa" w:w="9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Phase</w:t>
            </w:r>
          </w:p>
        </w:tc>
        <w:tc>
          <w:tcPr>
            <w:tcW w:type="dxa" w:w="26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Scope</w:t>
            </w:r>
          </w:p>
        </w:tc>
        <w:tc>
          <w:tcPr>
            <w:tcW w:type="dxa" w:w="55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Goal</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0</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CSV import (already built)</w:t>
            </w:r>
          </w:p>
        </w:tc>
        <w:tc>
          <w:tcPr>
            <w:tcW w:type="dxa" w:w="55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Keep as the universal, zero-integration fallback for every school, including those with no API access or during a pilot's early weeks.</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1</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Wonde integration (UK pilot)</w:t>
            </w:r>
          </w:p>
        </w:tc>
        <w:tc>
          <w:tcPr>
            <w:tcW w:type="dxa" w:w="55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Broadest UK coverage from a single connector. Run with one or two pilot schools already using Wonde-connected MIS, under a signed DPA/DPIA, against Wonde's sandbox account first.</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2</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OneRoster / Clever / ClassLink (US pilot)</w:t>
            </w:r>
          </w:p>
        </w:tc>
        <w:tc>
          <w:tcPr>
            <w:tcW w:type="dxa" w:w="55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Mirror Phase 1 for US districts, under a signed Data Privacy Agreement, tested against each provider's sandbox district before any real student data is touched.</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3</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School Connection admin tier + optional relay service</w:t>
            </w:r>
          </w:p>
        </w:tc>
        <w:tc>
          <w:tcPr>
            <w:tcW w:type="dxa" w:w="55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Separate IT-level SIS credentials from personal AI keys (Section 6); introduce the lightweight relay if multi-teacher/shared-install demand justifies it.</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4 (optional, longer-term)</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Model B: embedded marketplace app</w:t>
            </w:r>
          </w:p>
        </w:tc>
        <w:tc>
          <w:tcPr>
            <w:tcW w:type="dxa" w:w="55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Only pursued as a distinct, separately-scoped project once Phases 1–3 have proven real demand and the hosting/certification cost can be justified.</w:t>
            </w:r>
          </w:p>
        </w:tc>
      </w:tr>
    </w:tbl>
    <w:p>
      <w:pPr>
        <w:pStyle w:val="Heading1"/>
        <w:pageBreakBefore/>
      </w:pPr>
      <w:r>
        <w:t xml:space="preserve">9. Open Questions for a Business Decision</w:t>
      </w:r>
    </w:p>
    <w:p>
      <w:pPr>
        <w:spacing w:after="160"/>
      </w:pPr>
      <w:r>
        <w:t xml:space="preserve">These are not technical unknowns, they are choices that shape cost and timeline, and are worth deciding deliberately rather than by default:</w:t>
      </w:r>
    </w:p>
    <w:p>
      <w:pPr>
        <w:pStyle w:val="ListParagraph"/>
        <w:numPr>
          <w:ilvl w:val="0"/>
          <w:numId w:val="3"/>
        </w:numPr>
        <w:spacing w:after="100"/>
      </w:pPr>
      <w:r>
        <w:t xml:space="preserve">Is the near-term market UK-first (Wonde), US-first (OneRoster/Clever), or both in parallel? Building both at once roughly doubles the compliance and testing workload in Section 5 and 8.</w:t>
      </w:r>
    </w:p>
    <w:p>
      <w:pPr>
        <w:pStyle w:val="ListParagraph"/>
        <w:numPr>
          <w:ilvl w:val="0"/>
          <w:numId w:val="3"/>
        </w:numPr>
        <w:spacing w:after="100"/>
      </w:pPr>
      <w:r>
        <w:t xml:space="preserve">Is a hosted relay/backend (Section 6) an acceptable step away from "fully local, DPAPI-encrypted, nothing leaves this computer", which is currently a genuine selling point of the app? It should be pitched to schools as optional and off by default.</w:t>
      </w:r>
    </w:p>
    <w:p>
      <w:pPr>
        <w:pStyle w:val="ListParagraph"/>
        <w:numPr>
          <w:ilvl w:val="0"/>
          <w:numId w:val="3"/>
        </w:numPr>
        <w:spacing w:after="100"/>
      </w:pPr>
      <w:r>
        <w:t xml:space="preserve">Who signs and maintains the DPA/DPIA paperwork with each pilot school, and is that capacity available before Phase 1 begins? Skipping this step is the single biggest legal risk in this entire plan.</w:t>
      </w:r>
    </w:p>
    <w:p>
      <w:pPr>
        <w:pStyle w:val="ListParagraph"/>
        <w:numPr>
          <w:ilvl w:val="0"/>
          <w:numId w:val="3"/>
        </w:numPr>
        <w:spacing w:after="100"/>
      </w:pPr>
      <w:r>
        <w:t xml:space="preserve">Is Model B (Section 2) worth pursuing at all, or does FacultyFlow AI intentionally stay a lightweight desktop companion app rather than becoming a hosted platform? This materially changes the shape of the whole product, not just this feature.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FacultyFlow AI — School Data Integration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2E2440"/>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392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2026-07-06T18:09:05.976Z</dcterms:created>
  <dcterms:modified xsi:type="dcterms:W3CDTF">2026-07-06T18:09:05.976Z</dcterms:modified>
</cp:coreProperties>
</file>

<file path=docProps/custom.xml><?xml version="1.0" encoding="utf-8"?>
<Properties xmlns="http://schemas.openxmlformats.org/officeDocument/2006/custom-properties" xmlns:vt="http://schemas.openxmlformats.org/officeDocument/2006/docPropsVTypes"/>
</file>