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392A4C"/>
          <w:sz w:val="44"/>
          <w:szCs w:val="44"/>
        </w:rPr>
        <w:t xml:space="preserve">FacultyFlow AI</w:t>
      </w:r>
    </w:p>
    <w:p>
      <w:pPr>
        <w:spacing w:after="60"/>
      </w:pPr>
      <w:r>
        <w:rPr>
          <w:color w:val="555555"/>
          <w:sz w:val="28"/>
          <w:szCs w:val="28"/>
        </w:rPr>
        <w:t xml:space="preserve">Demo &amp; Test Data Pack</w:t>
      </w:r>
    </w:p>
    <w:p>
      <w:pPr>
        <w:spacing w:after="400"/>
      </w:pPr>
      <w:r>
        <w:rPr>
          <w:color w:val="888888"/>
          <w:sz w:val="20"/>
          <w:szCs w:val="20"/>
        </w:rPr>
        <w:t xml:space="preserve">Prepared for Jérémy Everitt — 6 July 2026</w:t>
      </w:r>
    </w:p>
    <w:p>
      <w:pPr>
        <w:pStyle w:val="Heading1"/>
      </w:pPr>
      <w:r>
        <w:t xml:space="preserve">1. What's in This Pack</w:t>
      </w:r>
    </w:p>
    <w:p>
      <w:pPr>
        <w:spacing w:after="160"/>
      </w:pPr>
      <w:r>
        <w:t xml:space="preserve">Two sample CSV files and this script are provided so the app can be exercised end-to-end with realistic-looking data, ready for testing or for recording the demo video that will sit under the LinkedIn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File</w:t>
            </w:r>
          </w:p>
        </w:tc>
        <w:tc>
          <w:tcPr>
            <w:tcW w:type="dxa" w:w="67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Used for</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student_roster_import.csv</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Single Report Generator's “Import Roster” button. Loads 12 students across two classes (9A Combined Science, 10C English Literature) into the student list.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wholeclass_batch_notes.csv</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Whole-Class Reports tab's “Upload CSV List” button. Loads 6 students from 9A Combined Science, each with a distinct, realistic teacher note, deliberately varied so the batch output looks different per student rather than repetitive.</w:t>
            </w:r>
          </w:p>
        </w:tc>
      </w:tr>
    </w:tbl>
    <w:p>
      <w:pPr>
        <w:spacing w:after="160"/>
      </w:pPr>
      <w:r>
        <w:t xml:space="preserve">Before recording, one working AI provider key is required, since the app cannot generate real report text without one. The quickest option for a demo is NVIDIA NIM, which has a free tier: create an account at build.nvidia.com, generate an API key, and paste it into Settings → AI Provider &amp; API Keys → NVIDIA Key. OpenAI, Gemini and Claude keys work the same way if a specific provider needs to be shown.</w:t>
      </w:r>
    </w:p>
    <w:p>
      <w:pPr>
        <w:pStyle w:val="Heading1"/>
        <w:pageBreakBefore/>
      </w:pPr>
      <w:r>
        <w:t xml:space="preserve">2. First-Run Setup (Welcome Screen)</w:t>
      </w:r>
    </w:p>
    <w:p>
      <w:pPr>
        <w:spacing w:after="160"/>
      </w:pPr>
      <w:r>
        <w:t xml:space="preserve">On first launch, the Welcome overlay asks for a teacher signature and school name. Suggested demo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Field</w:t>
            </w:r>
          </w:p>
        </w:tc>
        <w:tc>
          <w:tcPr>
            <w:tcW w:type="dxa" w:w="63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Suggested value</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Teacher Signature</w:t>
            </w:r>
          </w:p>
        </w:tc>
        <w:tc>
          <w:tcPr>
            <w:tcW w:type="dxa" w:w="6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Mr. J. Everitt</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School Institution Name</w:t>
            </w:r>
          </w:p>
        </w:tc>
        <w:tc>
          <w:tcPr>
            <w:tcW w:type="dxa" w:w="6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Riverside Academy</w:t>
            </w:r>
          </w:p>
        </w:tc>
      </w:tr>
    </w:tbl>
    <w:p>
      <w:pPr>
        <w:spacing w:after="160"/>
      </w:pPr>
      <w:r>
        <w:t xml:space="preserve">Click “Get Started” to enter the main application.</w:t>
      </w:r>
    </w:p>
    <w:p>
      <w:pPr>
        <w:pStyle w:val="Heading1"/>
        <w:pageBreakBefore/>
      </w:pPr>
      <w:r>
        <w:t xml:space="preserve">3. Single Report Generator Demo</w:t>
      </w:r>
    </w:p>
    <w:p>
      <w:pPr>
        <w:spacing w:after="160"/>
      </w:pPr>
      <w:r>
        <w:t xml:space="preserve">This is the strongest single moment to show off pronoun accuracy and SEN/support-need handling. Recommended showcase student: Sienna Kowalski, who also appears in the batch file, so her SEN support needs can be shown being picked up automatically in both single and batch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Field</w:t>
            </w:r>
          </w:p>
        </w:tc>
        <w:tc>
          <w:tcPr>
            <w:tcW w:type="dxa" w:w="67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Value to enter</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Student Name</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Sienna Kowalski (select from the dropdown after importing the roster, or type it fresh)</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Class/Group</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9A Combined Science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Target Grade</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Grade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Pronouns</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She/Her</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Support Needs</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Working memory difficulties; benefits from scaffolded worksheets and step-by-step written instructions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Parent Email</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test.parent@example.com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Target Word Count</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~300 Words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Tone Template</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Encouraging &amp; Warm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Curriculum Topic</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Rates of Reaction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Attendance</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Good/Acceptable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Contributions</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Occasional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Teacher Observations</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Completes practicals successfully when paired with a supportive partner. Needs reminders to record results as she goes rather than waiting until the end of the experiment. Growing in confidence when asked to explain her method aloud.</w:t>
            </w:r>
          </w:p>
        </w:tc>
      </w:tr>
    </w:tbl>
    <w:p>
      <w:pPr>
        <w:spacing w:after="160"/>
      </w:pPr>
      <w:r>
        <w:t xml:space="preserve">Click Generate Report, then narrate the output appearing in the Report Preview panel. This is a good point to show Export Word (.docx), Export PDF, Copy Text, and Email Parent (the email will only send successfully on camera if SMTP has been configured in Settings beforehand with a real app password).</w:t>
      </w:r>
    </w:p>
    <w:p>
      <w:pPr>
        <w:pStyle w:val="Heading1"/>
        <w:pageBreakBefore/>
      </w:pPr>
      <w:r>
        <w:t xml:space="preserve">4. Whole-Class Reports Demo</w:t>
      </w:r>
    </w:p>
    <w:p>
      <w:pPr>
        <w:pStyle w:val="ListParagraph"/>
        <w:numPr>
          <w:ilvl w:val="0"/>
          <w:numId w:val="2"/>
        </w:numPr>
        <w:spacing w:after="100"/>
      </w:pPr>
      <w:r>
        <w:t xml:space="preserve">Switch to the Whole-Class Reports tab.</w:t>
      </w:r>
    </w:p>
    <w:p>
      <w:pPr>
        <w:pStyle w:val="ListParagraph"/>
        <w:numPr>
          <w:ilvl w:val="0"/>
          <w:numId w:val="2"/>
        </w:numPr>
        <w:spacing w:after="100"/>
      </w:pPr>
      <w:r>
        <w:t xml:space="preserve">Click Upload CSV List and select wholeclass_batch_notes.csv.</w:t>
      </w:r>
    </w:p>
    <w:p>
      <w:pPr>
        <w:pStyle w:val="ListParagraph"/>
        <w:numPr>
          <w:ilvl w:val="0"/>
          <w:numId w:val="2"/>
        </w:numPr>
        <w:spacing w:after="100"/>
      </w:pPr>
      <w:r>
        <w:t xml:space="preserve">Confirm the six students have loaded into the batch text box as “Name | Notes” lines.</w:t>
      </w:r>
    </w:p>
    <w:p>
      <w:pPr>
        <w:pStyle w:val="ListParagraph"/>
        <w:numPr>
          <w:ilvl w:val="0"/>
          <w:numId w:val="2"/>
        </w:numPr>
        <w:spacing w:after="100"/>
      </w:pPr>
      <w:r>
        <w:t xml:space="preserve">Choose a Target Word Count (e.g. ~300 Words) and Tone Template (e.g. Formal &amp; Academic, to contrast with the warmer tone used in Section 3).</w:t>
      </w:r>
    </w:p>
    <w:p>
      <w:pPr>
        <w:pStyle w:val="ListParagraph"/>
        <w:numPr>
          <w:ilvl w:val="0"/>
          <w:numId w:val="2"/>
        </w:numPr>
        <w:spacing w:after="100"/>
      </w:pPr>
      <w:r>
        <w:t xml:space="preserve">Click Process Entire Class and let it run through all six students, narrating that each report is generated individually but the whole class completes in one pass.</w:t>
      </w:r>
    </w:p>
    <w:p>
      <w:pPr>
        <w:pStyle w:val="ListParagraph"/>
        <w:numPr>
          <w:ilvl w:val="0"/>
          <w:numId w:val="2"/>
        </w:numPr>
        <w:spacing w:after="100"/>
      </w:pPr>
      <w:r>
        <w:t xml:space="preserve">Once complete, demonstrate Export Batch (.docx) to show all six reports land in a single Word document, each starting on its own page.</w:t>
      </w:r>
    </w:p>
    <w:p>
      <w:pPr>
        <w:spacing w:after="160"/>
      </w:pPr>
      <w:r>
        <w:t xml:space="preserve">This is the clearest way to demonstrate the time saved: six reports from six lines of notes, in the time it would take to hand-write perhaps one.</w:t>
      </w:r>
    </w:p>
    <w:p>
      <w:pPr>
        <w:pStyle w:val="Heading1"/>
        <w:pageBreakBefore/>
      </w:pPr>
      <w:r>
        <w:t xml:space="preserve">5. Compare AI Writing Styles Demo</w:t>
      </w:r>
    </w:p>
    <w:p>
      <w:pPr>
        <w:spacing w:after="160"/>
      </w:pPr>
      <w:r>
        <w:t xml:space="preserve">Good for showing that the app is not tied to a single AI vendor. Suggested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Field</w:t>
            </w:r>
          </w:p>
        </w:tc>
        <w:tc>
          <w:tcPr>
            <w:tcW w:type="dxa" w:w="67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Value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Student Name</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Marcus Odinga</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Evaluation Notes</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Reads well above his year group and enjoys debating the interpretation of a text, but written responses are often shorter than his verbal contributions suggest he is capable of.</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AI Provider 1</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Google Gemini</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AI Provider 2</w:t>
            </w:r>
          </w:p>
        </w:tc>
        <w:tc>
          <w:tcPr>
            <w:tcW w:type="dxa" w:w="67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NVIDIA NIM (Free)</w:t>
            </w:r>
          </w:p>
        </w:tc>
      </w:tr>
    </w:tbl>
    <w:p>
      <w:pPr>
        <w:spacing w:after="160"/>
      </w:pPr>
      <w:r>
        <w:t xml:space="preserve">Click Run Comparative Analytics and let both panels populate side by side, then talk through how a teacher would pick whichever output reads most like their own voice.</w:t>
      </w:r>
    </w:p>
    <w:p>
      <w:pPr>
        <w:pStyle w:val="Heading1"/>
        <w:pageBreakBefore/>
      </w:pPr>
      <w:r>
        <w:t xml:space="preserve">6. Branding &amp; Settings Demo</w:t>
      </w:r>
    </w:p>
    <w:p>
      <w:pPr>
        <w:pStyle w:val="ListParagraph"/>
        <w:numPr>
          <w:ilvl w:val="0"/>
          <w:numId w:val="3"/>
        </w:numPr>
        <w:spacing w:after="80"/>
      </w:pPr>
      <w:r>
        <w:t xml:space="preserve">My Profile &amp; School Settings: upload a school logo image, pick an accent colour from the preset list (try Navy Blue for a change of look), and toggle Enable Dark Mode to show the interface re-theme live.</w:t>
      </w:r>
    </w:p>
    <w:p>
      <w:pPr>
        <w:pStyle w:val="ListParagraph"/>
        <w:numPr>
          <w:ilvl w:val="0"/>
          <w:numId w:val="3"/>
        </w:numPr>
        <w:spacing w:after="80"/>
      </w:pPr>
      <w:r>
        <w:t xml:space="preserve">AI Provider &amp; API Keys: switch Active Core Provider between two options to show the Model Quality dropdown updating, and click Test Connection with a valid key to show the connection-success confirmation.</w:t>
      </w:r>
    </w:p>
    <w:p>
      <w:pPr>
        <w:pStyle w:val="ListParagraph"/>
        <w:numPr>
          <w:ilvl w:val="0"/>
          <w:numId w:val="3"/>
        </w:numPr>
        <w:spacing w:after="80"/>
      </w:pPr>
      <w:r>
        <w:t xml:space="preserve">Usage Statistics: after running the demos above, this tab will already show non-zero Saved Labor Hours, Estimated Token Output, and a per-provider report count, useful as a natural closing shot.</w:t>
      </w:r>
    </w:p>
    <w:p>
      <w:pPr>
        <w:pStyle w:val="Heading1"/>
        <w:pageBreakBefore/>
      </w:pPr>
      <w:r>
        <w:t xml:space="preserve">7. History Log Demo</w:t>
      </w:r>
    </w:p>
    <w:p>
      <w:pPr>
        <w:spacing w:after="160"/>
      </w:pPr>
      <w:r>
        <w:t xml:space="preserve">After generating a few reports in Sections 3-5, switch to the History Log panel on the right-hand side. Select an entry to preview it, use the search box to filter by student name, right-click an entry to show the Delete Record option, and demonstrate Save Edits after making a small manual tweak to a generated report in the main preview panel.</w:t>
      </w:r>
    </w:p>
    <w:p>
      <w:pPr>
        <w:pStyle w:val="Heading1"/>
        <w:pageBreakBefore/>
      </w:pPr>
      <w:r>
        <w:t xml:space="preserve">8. Suggested Recording Order</w:t>
      </w:r>
    </w:p>
    <w:p>
      <w:pPr>
        <w:pStyle w:val="ListParagraph"/>
        <w:numPr>
          <w:ilvl w:val="0"/>
          <w:numId w:val="2"/>
        </w:numPr>
        <w:spacing w:after="100"/>
      </w:pPr>
      <w:r>
        <w:t xml:space="preserve">Welcome / first-run setup (Section 2) — establishes the school identity on screen.</w:t>
      </w:r>
    </w:p>
    <w:p>
      <w:pPr>
        <w:pStyle w:val="ListParagraph"/>
        <w:numPr>
          <w:ilvl w:val="0"/>
          <w:numId w:val="2"/>
        </w:numPr>
        <w:spacing w:after="100"/>
      </w:pPr>
      <w:r>
        <w:t xml:space="preserve">Single Report Generator with Sienna Kowalski (Section 3) — the richest single demo of accuracy and personalisation.</w:t>
      </w:r>
    </w:p>
    <w:p>
      <w:pPr>
        <w:pStyle w:val="ListParagraph"/>
        <w:numPr>
          <w:ilvl w:val="0"/>
          <w:numId w:val="2"/>
        </w:numPr>
        <w:spacing w:after="100"/>
      </w:pPr>
      <w:r>
        <w:t xml:space="preserve">Whole-Class batch import and generation (Section 4) — the strongest “time saved” moment.</w:t>
      </w:r>
    </w:p>
    <w:p>
      <w:pPr>
        <w:pStyle w:val="ListParagraph"/>
        <w:numPr>
          <w:ilvl w:val="0"/>
          <w:numId w:val="2"/>
        </w:numPr>
        <w:spacing w:after="100"/>
      </w:pPr>
      <w:r>
        <w:t xml:space="preserve">Compare AI Writing Styles (Section 5) — proves multi-provider flexibility.</w:t>
      </w:r>
    </w:p>
    <w:p>
      <w:pPr>
        <w:pStyle w:val="ListParagraph"/>
        <w:numPr>
          <w:ilvl w:val="0"/>
          <w:numId w:val="2"/>
        </w:numPr>
        <w:spacing w:after="100"/>
      </w:pPr>
      <w:r>
        <w:t xml:space="preserve">Branding and Dark Mode toggle (Section 6) — visually distinctive, good for a highlight reel.</w:t>
      </w:r>
    </w:p>
    <w:p>
      <w:pPr>
        <w:pStyle w:val="ListParagraph"/>
        <w:numPr>
          <w:ilvl w:val="0"/>
          <w:numId w:val="2"/>
        </w:numPr>
        <w:spacing w:after="100"/>
      </w:pPr>
      <w:r>
        <w:t xml:space="preserve">History Log and export options (Section 7) — closes the loop back to “this becomes a real document a parent receives.”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FacultyFlow AI — Demo &amp; Test Data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2E2440"/>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392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2026-07-07T08:30:22.849Z</dcterms:created>
  <dcterms:modified xsi:type="dcterms:W3CDTF">2026-07-07T08:30:22.856Z</dcterms:modified>
</cp:coreProperties>
</file>

<file path=docProps/custom.xml><?xml version="1.0" encoding="utf-8"?>
<Properties xmlns="http://schemas.openxmlformats.org/officeDocument/2006/custom-properties" xmlns:vt="http://schemas.openxmlformats.org/officeDocument/2006/docPropsVTypes"/>
</file>