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行内公式与逻辑符号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</m:t>
        </m:r>
        <m:f>
          <m:num>
            <m:r>
              <m:rPr>
                <m:sty m:val="p"/>
              </m:rPr>
              <m:t xml:space="preserve">1</m:t>
            </m:r>
          </m:num>
          <m:den>
            <m:r>
              <m:rPr>
                <m:sty m:val="p"/>
              </m:rPr>
              <m:t xml:space="preserve">1+</m:t>
            </m:r>
            <m:sSup>
              <m:e>
                <m:r>
                  <m:rPr>
                    <m:sty m:val="p"/>
                  </m:rPr>
                  <m:t xml:space="preserve">e</m:t>
                </m:r>
              </m:e>
              <m:sup>
                <m:r>
                  <m:rPr>
                    <m:sty m:val="p"/>
                  </m:rPr>
                  <m:t xml:space="preserve">−x</m:t>
                </m:r>
              </m:sup>
            </m:sSup>
          </m:den>
        </m:f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定理、引理与证明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（此处插入图片：请单独成段插入 PNG/JPG）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弗雷格，算术基础，王路译，北京：商务印书馆，1998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吴梅红，基于动态认知逻辑的多主体系统知识推理研究，2009 年，厦门大学博士学位论文。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[5] P. Benacerraf, 1981, “Frege: The Last Logicist”, Midwest Studies in Philosophy,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[6] K. Gödel, 1995, “Some Basic Theorems on the Foundations of Mathematics and Their Implications”, in S. Feferman et al. (eds.), Kurt Gödel Collected Works, Volume III: Unpublished Essays and Lectures,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[7] J. Bennett, 1988, Events and Their Names,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[8] P. Bartha, 2019, “Analogy and Analogical Reasoning”, in E. N. Zalta (ed.), The Stanford Encyclopedia of Philosophy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3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exac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