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5"/>
        </w:rPr>
        <w:t>Insert Your Title Here</w:t>
      </w:r>
    </w:p>
    <w:p>
      <w:pPr>
        <w:spacing w:before="292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4"/>
        </w:rPr>
        <w:t>San Zhang, Si Li, Wu Wang</w:t>
      </w:r>
      <w:r>
        <w:rPr>
          <w:rStyle w:val="FootnoteReference"/>
        </w:rPr>
        <w:footnoteReference w:id="1"/>
      </w:r>
    </w:p>
    <w:p>
      <w:pPr>
        <w:spacing w:before="167" w:after="0" w:line="227" w:lineRule="exact"/>
        <w:ind w:firstLine="0" w:left="284" w:leftChars="0" w:right="284"/>
        <w:jc w:val="left"/>
      </w:pPr>
      <w:r>
        <w:rPr>
          <w:rFonts w:ascii="Times New Roman" w:hAnsi="Times New Roman" w:eastAsia="SimSun"/>
          <w:b/>
          <w:i w:val="0"/>
          <w:sz w:val="18"/>
        </w:rPr>
        <w:t>Abstract.</w:t>
      </w:r>
      <w:r>
        <w:rPr>
          <w:rFonts w:ascii="Times New Roman" w:hAnsi="Times New Roman" w:eastAsia="SimSun"/>
          <w:b w:val="0"/>
          <w:i w:val="0"/>
          <w:sz w:val="18"/>
        </w:rPr>
        <w:t xml:space="preserve">　</w:t>
      </w:r>
      <w:r>
        <w:rPr>
          <w:rFonts w:ascii="Times New Roman" w:hAnsi="Times New Roman" w:eastAsia="SimSun"/>
          <w:b w:val="0"/>
          <w:i w:val="0"/>
          <w:sz w:val="18"/>
        </w:rPr>
        <w:t>Insert the English abstract here (about 150–250 words).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1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Introduction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This is the first paragraph of the body text. Please insert your paper here.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 xml:space="preserve">Citations are normally given in parentheses in the running text: one item </w:t>
      </w:r>
      <w:r>
        <w:rPr>
          <w:rFonts w:ascii="Times New Roman" w:hAnsi="Times New Roman" w:eastAsia="SimSun"/>
          <w:b w:val="0"/>
          <w:i w:val="0"/>
          <w:sz w:val="22"/>
        </w:rPr>
        <w:t>([1])</w:t>
      </w:r>
      <w:r>
        <w:rPr>
          <w:rFonts w:ascii="Times New Roman" w:hAnsi="Times New Roman" w:eastAsia="SimSun"/>
          <w:b w:val="0"/>
          <w:i w:val="0"/>
          <w:sz w:val="22"/>
        </w:rPr>
        <w:t xml:space="preserve">; a book with a page number </w:t>
      </w:r>
      <w:r>
        <w:rPr>
          <w:rFonts w:ascii="Times New Roman" w:hAnsi="Times New Roman" w:eastAsia="SimSun"/>
          <w:b w:val="0"/>
          <w:i w:val="0"/>
          <w:sz w:val="22"/>
        </w:rPr>
        <w:t>([2], p. 45)</w:t>
      </w:r>
      <w:r>
        <w:rPr>
          <w:rFonts w:ascii="Times New Roman" w:hAnsi="Times New Roman" w:eastAsia="SimSun"/>
          <w:b w:val="0"/>
          <w:i w:val="0"/>
          <w:sz w:val="22"/>
        </w:rPr>
        <w:t xml:space="preserve">; several items at once, in ascending order </w:t>
      </w:r>
      <w:r>
        <w:rPr>
          <w:rFonts w:ascii="Times New Roman" w:hAnsi="Times New Roman" w:eastAsia="SimSun"/>
          <w:b w:val="0"/>
          <w:i w:val="0"/>
          <w:sz w:val="22"/>
        </w:rPr>
        <w:t>([1, 6, 7])</w:t>
      </w:r>
      <w:r>
        <w:rPr>
          <w:rFonts w:ascii="Times New Roman" w:hAnsi="Times New Roman" w:eastAsia="SimSun"/>
          <w:b w:val="0"/>
          <w:i w:val="0"/>
          <w:sz w:val="22"/>
        </w:rPr>
        <w:t xml:space="preserve">; with a lead-in (see, cf.) the number takes no parentheses: </w:t>
      </w:r>
      <w:r>
        <w:rPr>
          <w:rFonts w:ascii="Times New Roman" w:hAnsi="Times New Roman" w:eastAsia="SimSun"/>
          <w:b w:val="0"/>
          <w:i w:val="0"/>
          <w:sz w:val="22"/>
        </w:rPr>
        <w:t>see [4]</w:t>
      </w:r>
      <w:r>
        <w:rPr>
          <w:rFonts w:ascii="Times New Roman" w:hAnsi="Times New Roman" w:eastAsia="SimSun"/>
          <w:b w:val="0"/>
          <w:i w:val="0"/>
          <w:sz w:val="22"/>
        </w:rPr>
        <w:t>. Put citation marks before commas and after full stops.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The examples cover a journal article ([1]), a book ([2]), a chapter ([3]), a dissertation ([4]), a Chinese article ([5]), a Chinese book ([6]), an online reference ([7]) and a classic monograph ([8]).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This is the second paragraph, with a footnote example.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2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Mathematical Formulas and Symbols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2.1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Inline Formulas and Symbols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 xml:space="preserve">Inline formula example: let 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2"/>
        </w:rPr>
        <w:t xml:space="preserve"> be the equation of a circle, and let </w:t>
      </w:r>
      <m:oMath>
        <m:r>
          <m:rPr>
            <m:sty m:val="p"/>
          </m:rPr>
          <m:t xml:space="preserve">f(x)=</m:t>
        </m:r>
        <m:f>
          <m:num>
            <m:r>
              <m:rPr>
                <m:sty m:val="p"/>
              </m:rPr>
              <m:t xml:space="preserve">1</m:t>
            </m:r>
          </m:num>
          <m:den>
            <m:r>
              <m:rPr>
                <m:sty m:val="p"/>
              </m:rPr>
              <m:t xml:space="preserve">1+</m:t>
            </m:r>
            <m:sSup>
              <m:e>
                <m:r>
                  <m:rPr>
                    <m:sty m:val="p"/>
                  </m:rPr>
                  <m:t xml:space="preserve">e</m:t>
                </m:r>
              </m:e>
              <m:sup>
                <m:r>
                  <m:rPr>
                    <m:sty m:val="p"/>
                  </m:rPr>
                  <m:t xml:space="preserve">−x</m:t>
                </m:r>
              </m:sup>
            </m:sSup>
          </m:den>
        </m:f>
      </m:oMath>
      <w:r>
        <w:rPr>
          <w:rFonts w:ascii="Times New Roman" w:hAnsi="Times New Roman" w:eastAsia="SimSun"/>
          <w:b w:val="0"/>
          <w:i w:val="0"/>
          <w:sz w:val="22"/>
        </w:rPr>
        <w:t xml:space="preserve"> be continuous on the real line.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Logic symbols (type the Unicode characters directly; do not use symbol fonts): ¬, ∧, ∨, →, ↔, ∀, ∃, ⊢, ⊨, □, ◇, ∈, ⊆.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2.2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Display Formulas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3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Theorems and Proofs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Theorem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If the assumptions hold, then the conclusion holds.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Lemma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The auxiliary claim follows directly from the definition.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Definition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An object satisfying the given conditions is called an object of the relevant kind.</w:t>
      </w:r>
    </w:p>
    <w:p>
      <w:pPr/>
      <w:r>
        <w:rPr>
          <w:rFonts w:ascii="Times New Roman" w:hAnsi="Times New Roman" w:eastAsia="Times New Roman"/>
          <w:b/>
          <w:i w:val="0"/>
          <w:sz w:val="22"/>
        </w:rPr>
        <w:t>Proof.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It follows directly from Theorem 1.　□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4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Figures and Tables</w:t>
      </w:r>
    </w:p>
    <w:p>
      <w:pPr>
        <w:spacing w:before="200" w:after="40" w:line="276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t>(Insert figure here: a separate paragraph, PNG/JPG)</w:t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Figure 1: Figure caption example.</w:t>
      </w:r>
    </w:p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2"/>
        </w:rPr>
        <w:t>Table 1: Table caption example.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Item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Content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Example 1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Example 2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keepNext/>
        <w:spacing w:before="320" w:after="214" w:line="302" w:lineRule="exact"/>
        <w:ind w:firstLine="0"/>
        <w:jc w:val="left"/>
      </w:pPr>
      <w:r>
        <w:rPr>
          <w:rFonts w:ascii="Times New Roman" w:hAnsi="Times New Roman" w:eastAsia="SimSun"/>
          <w:b/>
          <w:i w:val="0"/>
          <w:sz w:val="24"/>
        </w:rPr>
        <w:t>References</w:t>
      </w:r>
    </w:p>
    <w:p>
      <w:pPr>
        <w:spacing w:before="0" w:after="45" w:line="252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[1] P. Benacerraf, 1981, “Frege: The Last Logicist”, Midwest Studies in Philosophy, 6(1): 17–35.</w:t>
      </w:r>
    </w:p>
    <w:p>
      <w:pPr>
        <w:spacing w:before="0" w:after="45" w:line="252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[2] J. Bennett, 1988, Events and Their Names, Oxford: Oxford University Press.</w:t>
      </w:r>
    </w:p>
    <w:p>
      <w:pPr>
        <w:spacing w:before="0" w:after="45" w:line="252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[3] L. D. d’Almeida, 2019, “On the legal syllogism”, in D. Plunkett, S. J. Shapiro and C. Toh (eds.), Dimensions of Normativity: New Essays on Metaethics and Jurisprudence, pp. 335–364, New York: Oxford Academic.</w:t>
      </w:r>
    </w:p>
    <w:p>
      <w:pPr>
        <w:spacing w:before="0" w:after="45" w:line="252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[4] A. C. Hastings, 1963, A Reformulation of the Modes of Reasoning in Argumentation, PhD thesis, Northwestern University.</w:t>
      </w:r>
    </w:p>
    <w:p>
      <w:pPr>
        <w:spacing w:before="0" w:after="45" w:line="252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[5] 常思礼，“试释《文心雕龙》中的‘诡’”，中北大学学报（社会科学版），2023 年第3 期，第24–31 页。</w:t>
      </w:r>
    </w:p>
    <w:p>
      <w:pPr>
        <w:spacing w:before="0" w:after="45" w:line="252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[6] 汪奠基，中国逻辑思想史，武汉：武汉大学出版社，2012 年。</w:t>
      </w:r>
    </w:p>
    <w:p>
      <w:pPr>
        <w:spacing w:before="0" w:after="45" w:line="252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[7] P. Bartha, 2019, “Analogy and Analogical Reasoning”, in E. N. Zalta (ed.), The Stanford Encyclopedia of Philosophy (Spring 2019 Edition), https://plato.stanford.edu/archives/spr2019/entries/reasoning-analogy/.</w:t>
      </w:r>
    </w:p>
    <w:p>
      <w:pPr>
        <w:spacing w:before="0" w:after="45" w:line="252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[8] B. Russell, 1905, “On Denoting”, Mind, 14(56): 479–493.</w:t>
      </w:r>
    </w:p>
    <w:p>
      <w:r>
        <w:br w:type="page"/>
      </w:r>
    </w:p>
    <w:p>
      <w:pPr>
        <w:spacing w:before="0" w:after="0" w:line="614" w:lineRule="exact"/>
        <w:ind w:firstLine="0"/>
      </w:pPr>
    </w:p>
    <w:p>
      <w:pPr>
        <w:spacing w:before="0" w:after="0" w:line="416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32"/>
        </w:rPr>
        <w:t>中文标题</w:t>
      </w:r>
    </w:p>
    <w:p>
      <w:pPr>
        <w:spacing w:before="392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第一作者　第二作者　第三作者</w:t>
      </w:r>
      <w:r>
        <w:rPr>
          <w:rStyle w:val="FootnoteReference"/>
        </w:rPr>
        <w:footnoteReference w:id="3"/>
      </w:r>
    </w:p>
    <w:p>
      <w:pPr>
        <w:spacing w:before="414" w:after="242" w:line="312" w:lineRule="exact"/>
        <w:ind w:firstLine="0"/>
        <w:jc w:val="center"/>
      </w:pPr>
      <w:r>
        <w:rPr>
          <w:rFonts w:ascii="Times New Roman" w:hAnsi="Times New Roman" w:eastAsia="SimHei"/>
          <w:b w:val="0"/>
          <w:i w:val="0"/>
          <w:sz w:val="24"/>
        </w:rPr>
        <w:t>摘　　要</w:t>
      </w:r>
    </w:p>
    <w:p>
      <w:pPr>
        <w:spacing w:before="122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请输入中文摘要。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San Zhang</w:t>
      </w:r>
      <w:r>
        <w:rPr>
          <w:rFonts w:ascii="Times New Roman" w:hAnsi="Times New Roman" w:eastAsia="Times New Roman"/>
          <w:sz w:val="18"/>
          <w:szCs w:val="18"/>
        </w:rPr>
        <w:t xml:space="preserve">　Department of Philosophy, Example University, E-mail: zhangsan@example.edu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Si Li</w:t>
      </w:r>
      <w:r>
        <w:rPr>
          <w:rFonts w:ascii="Times New Roman" w:hAnsi="Times New Roman" w:eastAsia="Times New Roman"/>
          <w:sz w:val="18"/>
          <w:szCs w:val="18"/>
        </w:rPr>
        <w:t xml:space="preserve">　Department of Philosophy, Example University, E-mail: lisi@example.edu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Wu Wang</w:t>
      </w:r>
      <w:r>
        <w:rPr>
          <w:rFonts w:ascii="Times New Roman" w:hAnsi="Times New Roman" w:eastAsia="Times New Roman"/>
          <w:sz w:val="18"/>
          <w:szCs w:val="18"/>
        </w:rPr>
        <w:t xml:space="preserve">　School of Philosophy, Example University, E-mail: wangwu@example.edu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Acknowledgements: </w:t>
      </w:r>
      <w:r>
        <w:rPr>
          <w:rFonts w:ascii="Times New Roman" w:hAnsi="Times New Roman" w:eastAsia="Times New Roman"/>
          <w:sz w:val="18"/>
          <w:szCs w:val="18"/>
        </w:rPr>
        <w:t xml:space="preserve">Please insert grants/acknowledgements here, or delete this line.</w:t>
      </w:r>
    </w:p>
  </w:footnote>
  <w:footnote w:id="2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Footnote example: </w:t>
      </w:r>
      <w:r>
        <w:rPr>
          <w:rFonts w:ascii="Times New Roman" w:hAnsi="Times New Roman" w:eastAsia="Times New Roman"/>
          <w:sz w:val="18"/>
          <w:szCs w:val="18"/>
        </w:rPr>
        <w:t xml:space="preserve">explanatory footnotes are placed at the bottom of the page in 9 pt type.</w:t>
      </w:r>
    </w:p>
  </w:footnote>
  <w:footnote w:id="3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KaiTi"/>
          <w:sz w:val="18"/>
          <w:szCs w:val="18"/>
        </w:rPr>
        <w:t xml:space="preserve">第一作者</w:t>
      </w:r>
      <w:r>
        <w:rPr>
          <w:rFonts w:ascii="Times New Roman" w:hAnsi="Times New Roman" w:eastAsia="SimSun"/>
          <w:sz w:val="18"/>
          <w:szCs w:val="18"/>
        </w:rPr>
        <w:t xml:space="preserve">　单位一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KaiTi"/>
          <w:sz w:val="18"/>
          <w:szCs w:val="18"/>
        </w:rPr>
        <w:t xml:space="preserve">第二作者</w:t>
      </w:r>
      <w:r>
        <w:rPr>
          <w:rFonts w:ascii="Times New Roman" w:hAnsi="Times New Roman" w:eastAsia="SimSun"/>
          <w:sz w:val="18"/>
          <w:szCs w:val="18"/>
        </w:rPr>
        <w:t xml:space="preserve">　单位二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KaiTi"/>
          <w:sz w:val="18"/>
          <w:szCs w:val="18"/>
        </w:rPr>
        <w:t xml:space="preserve">第三作者</w:t>
      </w:r>
      <w:r>
        <w:rPr>
          <w:rFonts w:ascii="Times New Roman" w:hAnsi="Times New Roman" w:eastAsia="SimSun"/>
          <w:sz w:val="18"/>
          <w:szCs w:val="18"/>
        </w:rPr>
        <w:t xml:space="preserve">　单位三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xxxx@xxxx.xxx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86" w:lineRule="exac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2"/>
      <w:lang w:val="en-US" w:eastAsia="en-US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5" w:after="220" w:line="30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24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8" w:after="147" w:line="276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21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36" w:lineRule="exact" w:before="486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5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2"/>
      <w:szCs w:val="18"/>
      <w:lang w:val="en-US" w:eastAsia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27" w:lineRule="exact"/>
      <w:ind w:firstLine="0"/>
      <w:jc w:val="both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Studies in Logic author submission template (English)</dc:title>
  <dc:subject>Author submission template</dc:subject>
  <dc:creator>Studies in Logic Editorial Office</dc:creator>
  <cp:keywords/>
  <dc:description>Placeholder example; contains no real author/manuscript content.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