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张三　李四　王五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spacing w:before="40" w:after="0" w:line="273" w:lineRule="exact"/>
        <w:ind w:firstLine="0" w:left="284" w:leftChars="0"/>
      </w:pPr>
      <w:r>
        <w:rPr>
          <w:rFonts w:ascii="Times New Roman" w:hAnsi="Times New Roman" w:eastAsia="SimSun"/>
          <w:b w:val="0"/>
          <w:i w:val="0"/>
          <w:sz w:val="18"/>
        </w:rPr>
        <w:t>说明：分类号与文献标识码在 Word 稿中保留一行即可；标题页由排版固定印刷，正文中重复的同类行会被自动移除，不会重复印刷。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正文中的文献引用一般直接加括号写在正文里，例如只引一篇写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；引专著并标具体页码写</w:t>
      </w:r>
      <w:r>
        <w:rPr>
          <w:rFonts w:ascii="Times New Roman" w:hAnsi="Times New Roman" w:eastAsia="SimSun"/>
          <w:b w:val="0"/>
          <w:i w:val="0"/>
          <w:sz w:val="21"/>
        </w:rPr>
        <w:t>（[2]，第45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；同一处引多篇文献时只写一个括号、序号由小到大，如</w:t>
      </w:r>
      <w:r>
        <w:rPr>
          <w:rFonts w:ascii="Times New Roman" w:hAnsi="Times New Roman" w:eastAsia="SimSun"/>
          <w:b w:val="0"/>
          <w:i w:val="0"/>
          <w:sz w:val="21"/>
        </w:rPr>
        <w:t>（[1，5，6]）</w:t>
      </w:r>
      <w:r>
        <w:rPr>
          <w:rFonts w:ascii="Times New Roman" w:hAnsi="Times New Roman" w:eastAsia="SimSun"/>
          <w:b w:val="0"/>
          <w:i w:val="0"/>
          <w:sz w:val="21"/>
        </w:rPr>
        <w:t>；带引导语（参见、参看、详见等）时编号不加括号，写</w:t>
      </w:r>
      <w:r>
        <w:rPr>
          <w:rFonts w:ascii="Times New Roman" w:hAnsi="Times New Roman" w:eastAsia="SimSun"/>
          <w:b w:val="0"/>
          <w:i w:val="0"/>
          <w:sz w:val="21"/>
        </w:rPr>
        <w:t>参见文献[4]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。引用标记放在逗号前、句号后；摘要中不使用引用编号，按「作者（年份）」叙述。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本模板示例共引用 8 类文献：中文期刊（[1]）、中文图书（[2]）、中文译著（[3]）、中文学位论文（[4]）、英文期刊（[5]）、英文编著章节（[6]）、英文图书（[7]）、网络资源（[8]）。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独立公式与编号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1"/>
        </w:rPr>
        <w:t>正文引用公式时写「式（1）」即可；当引用编号与独立公式顺序对齐时，排版系统会自动生成公式编号并联动交叉引用（无需手打编号或占位）。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命题1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若条件成立，则命题成立。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推论1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由定理1 可直接推出该结论。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公理1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以下条件作为公理接受。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例1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符合定义1 的一个例子。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注</w:t>
      </w:r>
      <w:r>
        <w:rPr>
          <w:rFonts w:ascii="Times New Roman" w:hAnsi="Times New Roman" w:eastAsia="SimSun"/>
          <w:b w:val="0"/>
          <w:i w:val="0"/>
          <w:sz w:val="21"/>
        </w:rPr>
        <w:t xml:space="preserve">　注不编号；补充说明文字。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40" w:lineRule="auto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drawing>
          <wp:inline xmlns:a="http://schemas.openxmlformats.org/drawingml/2006/main" xmlns:pic="http://schemas.openxmlformats.org/drawingml/2006/picture">
            <wp:extent cx="3240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fig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p>
      <w:pPr>
        <w:spacing w:before="40" w:after="120" w:line="273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注：表格注释写在表格下方的正文段；不要把脚注插入表格单元格。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图表引用示例：如图1所示、见表1；公式引用写作「式（1）」。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5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写作规范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标点与书名号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中文正文使用全角标点（，。；：、“”），英文与数字使用半角并在其后留空格；中文句末用「。」，不要用半角句点。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书名、篇名用书名号《》（如《逻辑学研究》）；引号用“”表示引文或术语，引号内再用引号时用‘’。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数字与连接号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年份写「2024 年」，日期写「2024-10-24」。连接号有三种，不可混用：短横「-」用于编号、日期与字母序号（表2-9、2022-10-08、A-级别）；双短横「–」用于页码范围（第8–12 页）；一字线「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」用于区间（北京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上海、秦岭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淮河）。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英文规范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英文引文独立成段、不加引号；大章节标题每词首字母大写，小章节仅句首大写；et al. 与 p. 8–12 的间隔由排版自动缩小；英文破折号用一字线。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5.4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长引文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KaiTi"/>
          <w:b w:val="0"/>
          <w:i w:val="0"/>
          <w:sz w:val="21"/>
        </w:rPr>
        <w:t>长引文独立成段、不加引号，与正文之间留出适当间距；中文与英文引文均按此处理。长引文请单独成段，不要在引文段落中混排脚注。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5.5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脚注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脚注标记放在逗号前、句号后，脚注内容以句号结尾；一句话有两处脚注且各对应一部分时，都放在标点前面。表格注释请写在表格下方的正文段（如「注：……」），不要插入表格单元格。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张三说上海下雪了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1"/>
        </w:rPr>
        <w:t>，而李四说面包真好吃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汪奠基，中国逻辑思想史，武汉：武汉大学出版社，2012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弗雷格（著），王路（译），算术基础，北京：商务印书馆，1998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吴梅红，基于动态认知逻辑的多主体系统知识推理研究，博士论文，厦门大学，2009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[5] P. Benacerraf, 1981, “Frege: The last logicist”, </w:t>
      </w:r>
      <w:r>
        <w:rPr>
          <w:rFonts w:ascii="Times New Roman" w:hAnsi="Times New Roman" w:eastAsia="SimSun"/>
          <w:b w:val="0"/>
          <w:i/>
          <w:sz w:val="18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18"/>
        </w:rPr>
        <w:t>, 6(1): 17–35.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[6] K. Gödel, 1995, “Some basic theorems on the foundations of mathematics and their implications”, in S. Feferman et al. (eds.), </w:t>
      </w:r>
      <w:r>
        <w:rPr>
          <w:rFonts w:ascii="Times New Roman" w:hAnsi="Times New Roman" w:eastAsia="SimSun"/>
          <w:b w:val="0"/>
          <w:i/>
          <w:sz w:val="18"/>
        </w:rPr>
        <w:t>Kurt Gödel Collected Works, Volume III: Unpublished Essays and Lectures</w:t>
      </w:r>
      <w:r>
        <w:rPr>
          <w:rFonts w:ascii="Times New Roman" w:hAnsi="Times New Roman" w:eastAsia="SimSun"/>
          <w:b w:val="0"/>
          <w:i w:val="0"/>
          <w:sz w:val="18"/>
        </w:rPr>
        <w:t>, pp. 304–323,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[7] J. Bennett, 1988, </w:t>
      </w:r>
      <w:r>
        <w:rPr>
          <w:rFonts w:ascii="Times New Roman" w:hAnsi="Times New Roman" w:eastAsia="SimSun"/>
          <w:b w:val="0"/>
          <w:i/>
          <w:sz w:val="18"/>
        </w:rPr>
        <w:t>Events and Their Names</w:t>
      </w:r>
      <w:r>
        <w:rPr>
          <w:rFonts w:ascii="Times New Roman" w:hAnsi="Times New Roman" w:eastAsia="SimSun"/>
          <w:b w:val="0"/>
          <w:i w:val="0"/>
          <w:sz w:val="18"/>
        </w:rPr>
        <w:t>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[8]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18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18"/>
        </w:rPr>
        <w:t xml:space="preserve"> (Spring 2019 Edition), https://plato.stanford.edu/archives/spr2019/entries/reasoning-analogy/.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　Second Author　Third Author</w:t>
      </w:r>
      <w:r>
        <w:rPr>
          <w:rStyle w:val="FootnoteReference"/>
        </w:rPr>
        <w:footnoteReference w:id="5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张三，中山大学哲学系，E-mail：zhangsan@example.edu.cn。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李四，北京大学哲学系，E-mail：lisi@example.edu.cn。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王五，复旦大学哲学学院，E-mail：wangwu@example.edu.cn。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这是一个脚注。</w:t>
      </w:r>
    </w:p>
  </w:footnote>
  <w:footnote w:id="4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这也是一个脚注。</w:t>
      </w:r>
    </w:p>
  </w:footnote>
  <w:footnote w:id="5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first@example.edu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Second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second@example.edu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Third Author</w:t>
      </w:r>
      <w:r>
        <w:rPr>
          <w:rFonts w:ascii="Times New Roman" w:hAnsi="Times New Roman" w:eastAsia="Times New Roman"/>
          <w:sz w:val="15"/>
          <w:szCs w:val="15"/>
        </w:rPr>
        <w:t xml:space="preserve">　School of Philosophy, Example University; E-mail: third@example.edu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