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SimSun"/>
          <w:b w:val="0"/>
          <w:i w:val="0"/>
          <w:sz w:val="35"/>
        </w:rPr>
        <w:t>Frege's Puzzle and the Semantics of Belief Reports</w:t>
      </w:r>
    </w:p>
    <w:p>
      <w:pPr>
        <w:spacing w:before="292" w:after="0" w:line="302" w:lineRule="exact"/>
        <w:ind w:firstLine="0"/>
        <w:jc w:val="center"/>
      </w:pPr>
      <w:r>
        <w:rPr>
          <w:rFonts w:ascii="Times New Roman" w:hAnsi="Times New Roman" w:eastAsia="SimSun"/>
          <w:b w:val="0"/>
          <w:i w:val="0"/>
          <w:sz w:val="24"/>
        </w:rPr>
        <w:t>San Zhang, Si Li, Wu Wang</w:t>
      </w:r>
      <w:r>
        <w:rPr>
          <w:rStyle w:val="FootnoteReference"/>
        </w:rPr>
        <w:footnoteReference w:id="1"/>
      </w:r>
    </w:p>
    <w:p>
      <w:pPr>
        <w:spacing w:before="167" w:after="0" w:line="227" w:lineRule="exact"/>
        <w:ind w:firstLine="0" w:left="284" w:leftChars="0" w:right="284"/>
        <w:jc w:val="left"/>
      </w:pPr>
      <w:r>
        <w:rPr>
          <w:rFonts w:ascii="Times New Roman" w:hAnsi="Times New Roman" w:eastAsia="SimSun"/>
          <w:b/>
          <w:i w:val="0"/>
          <w:sz w:val="18"/>
        </w:rPr>
        <w:t>Abstract</w:t>
      </w:r>
      <w:r>
        <w:rPr>
          <w:rFonts w:ascii="Times New Roman" w:hAnsi="Times New Roman" w:eastAsia="SimSun"/>
          <w:b w:val="0"/>
          <w:i w:val="0"/>
          <w:sz w:val="18"/>
        </w:rPr>
        <w:t xml:space="preserve">　</w:t>
      </w:r>
      <w:r>
        <w:rPr>
          <w:rFonts w:ascii="Times New Roman" w:hAnsi="Times New Roman" w:eastAsia="SimSun"/>
          <w:b w:val="0"/>
          <w:i w:val="0"/>
          <w:sz w:val="18"/>
        </w:rPr>
        <w:t>This paper re-examines Frege's puzzle about identity statements and belief reports. It argues that the semantic contribution of a proper name is not exhausted by its referent: the way a referent is presented also constrains the truth conditions of belief attributions. A contextualist account is sketched on which belief reports are sensitive to the mode of presentation salient in the context of utterance, and some consequences for the semantics of proper names are drawn.</w:t>
      </w:r>
    </w:p>
    <w:p>
      <w:r>
        <w:br w:type="page"/>
      </w:r>
    </w:p>
    <w:p>
      <w:pPr>
        <w:spacing w:before="0" w:after="0" w:line="614" w:lineRule="exact"/>
        <w:ind w:firstLine="0"/>
      </w:pPr>
    </w:p>
    <w:p>
      <w:pPr>
        <w:spacing w:before="0" w:after="0" w:line="416" w:lineRule="exact"/>
        <w:ind w:firstLine="0"/>
        <w:jc w:val="center"/>
      </w:pPr>
      <w:r>
        <w:rPr>
          <w:rFonts w:ascii="Times New Roman" w:hAnsi="Times New Roman" w:eastAsia="SimSun"/>
          <w:b w:val="0"/>
          <w:i w:val="0"/>
          <w:sz w:val="32"/>
        </w:rPr>
        <w:t>弗雷格之谜与信念报道语义</w:t>
      </w:r>
    </w:p>
    <w:p>
      <w:pPr>
        <w:spacing w:before="392" w:after="0" w:line="312" w:lineRule="exact"/>
        <w:ind w:firstLine="0"/>
        <w:jc w:val="center"/>
      </w:pPr>
      <w:r>
        <w:rPr>
          <w:rFonts w:ascii="Times New Roman" w:hAnsi="Times New Roman" w:eastAsia="KaiTi"/>
          <w:b w:val="0"/>
          <w:i w:val="0"/>
          <w:sz w:val="24"/>
        </w:rPr>
        <w:t>第一作者　第二作者　第三作者</w:t>
      </w:r>
      <w:r>
        <w:rPr>
          <w:rStyle w:val="FootnoteReference"/>
        </w:rPr>
        <w:footnoteReference w:id="2"/>
      </w:r>
    </w:p>
    <w:p>
      <w:pPr>
        <w:spacing w:before="414" w:after="0" w:line="328" w:lineRule="exact"/>
        <w:ind w:firstLine="420" w:firstLineChars="200"/>
        <w:jc w:val="both"/>
      </w:pPr>
      <w:r>
        <w:rPr>
          <w:rFonts w:ascii="Times New Roman" w:hAnsi="Times New Roman" w:eastAsia="SimHei"/>
          <w:b w:val="0"/>
          <w:i w:val="0"/>
          <w:sz w:val="24"/>
        </w:rPr>
        <w:t>摘　　要：</w:t>
      </w:r>
      <w:r>
        <w:rPr>
          <w:rFonts w:ascii="Times New Roman" w:hAnsi="Times New Roman" w:eastAsia="SimSun"/>
          <w:b w:val="0"/>
          <w:i w:val="0"/>
          <w:sz w:val="21"/>
        </w:rPr>
        <w:t>本文重新考察弗雷格关于同一性陈述与信念报道的谜题，论证专名的语义贡献并不限于其所指对象：指称的呈现方式同样约束信念归属的真值条件。文章提出一种语境主义解释，说明信念报道如何敏感于语境中突显的呈现方式，并讨论这一方案对专名语义学的若干推论。</w:t>
      </w:r>
    </w:p>
    <w:p>
      <w:r>
        <w:br w:type="page"/>
      </w:r>
    </w:p>
    <w:p>
      <w:pPr>
        <w:pStyle w:val="Heading1"/>
      </w:pPr>
      <w:r>
        <w:rPr>
          <w:rFonts w:ascii="Times New Roman" w:hAnsi="Times New Roman" w:eastAsia="Times New Roman"/>
          <w:b/>
          <w:i w:val="0"/>
          <w:sz w:val="24"/>
        </w:rPr>
        <w:t>1</w:t>
      </w:r>
      <w:r>
        <w:rPr>
          <w:rFonts w:ascii="Times New Roman" w:hAnsi="Times New Roman" w:eastAsia="Times New Roman"/>
          <w:b w:val="0"/>
          <w:i w:val="0"/>
          <w:sz w:val="24"/>
        </w:rPr>
        <w:t xml:space="preserve">　</w:t>
      </w:r>
      <w:r>
        <w:rPr>
          <w:rFonts w:ascii="Times New Roman" w:hAnsi="Times New Roman" w:eastAsia="Times New Roman"/>
          <w:b w:val="0"/>
          <w:i w:val="0"/>
          <w:sz w:val="24"/>
        </w:rPr>
        <w:t>Introduction</w:t>
      </w:r>
    </w:p>
    <w:p>
      <w:pPr/>
      <w:r>
        <w:rPr>
          <w:rFonts w:ascii="Times New Roman" w:hAnsi="Times New Roman" w:eastAsia="SimSun"/>
          <w:b w:val="0"/>
          <w:i w:val="0"/>
          <w:sz w:val="22"/>
        </w:rPr>
        <w:t>This is the first paragraph of the body text. Please insert your paper here.</w:t>
      </w:r>
    </w:p>
    <w:p>
      <w:pPr/>
      <w:r>
        <w:rPr>
          <w:rFonts w:ascii="Times New Roman" w:hAnsi="Times New Roman" w:eastAsia="SimSun"/>
          <w:b w:val="0"/>
          <w:i w:val="0"/>
          <w:sz w:val="22"/>
        </w:rPr>
        <w:t xml:space="preserve">Citations are normally given in parentheses in the running text: one item </w:t>
      </w:r>
      <w:r>
        <w:rPr>
          <w:rFonts w:ascii="Times New Roman" w:hAnsi="Times New Roman" w:eastAsia="SimSun"/>
          <w:b w:val="0"/>
          <w:i w:val="0"/>
          <w:sz w:val="22"/>
        </w:rPr>
        <w:t>([1])</w:t>
      </w:r>
      <w:r>
        <w:rPr>
          <w:rFonts w:ascii="Times New Roman" w:hAnsi="Times New Roman" w:eastAsia="SimSun"/>
          <w:b w:val="0"/>
          <w:i w:val="0"/>
          <w:sz w:val="22"/>
        </w:rPr>
        <w:t xml:space="preserve">; a book with a page number </w:t>
      </w:r>
      <w:r>
        <w:rPr>
          <w:rFonts w:ascii="Times New Roman" w:hAnsi="Times New Roman" w:eastAsia="SimSun"/>
          <w:b w:val="0"/>
          <w:i w:val="0"/>
          <w:sz w:val="22"/>
        </w:rPr>
        <w:t>([2], p. 45)</w:t>
      </w:r>
      <w:r>
        <w:rPr>
          <w:rFonts w:ascii="Times New Roman" w:hAnsi="Times New Roman" w:eastAsia="SimSun"/>
          <w:b w:val="0"/>
          <w:i w:val="0"/>
          <w:sz w:val="22"/>
        </w:rPr>
        <w:t xml:space="preserve">; several items at once, in ascending order </w:t>
      </w:r>
      <w:r>
        <w:rPr>
          <w:rFonts w:ascii="Times New Roman" w:hAnsi="Times New Roman" w:eastAsia="SimSun"/>
          <w:b w:val="0"/>
          <w:i w:val="0"/>
          <w:sz w:val="22"/>
        </w:rPr>
        <w:t>([1, 6, 7])</w:t>
      </w:r>
      <w:r>
        <w:rPr>
          <w:rFonts w:ascii="Times New Roman" w:hAnsi="Times New Roman" w:eastAsia="SimSun"/>
          <w:b w:val="0"/>
          <w:i w:val="0"/>
          <w:sz w:val="22"/>
        </w:rPr>
        <w:t xml:space="preserve">; with a lead-in (see, cf.) the number takes no parentheses: </w:t>
      </w:r>
      <w:r>
        <w:rPr>
          <w:rFonts w:ascii="Times New Roman" w:hAnsi="Times New Roman" w:eastAsia="SimSun"/>
          <w:b w:val="0"/>
          <w:i w:val="0"/>
          <w:sz w:val="22"/>
        </w:rPr>
        <w:t>see [4]</w:t>
      </w:r>
      <w:r>
        <w:rPr>
          <w:rFonts w:ascii="Times New Roman" w:hAnsi="Times New Roman" w:eastAsia="SimSun"/>
          <w:b w:val="0"/>
          <w:i w:val="0"/>
          <w:sz w:val="22"/>
        </w:rPr>
        <w:t>. Put citation marks before commas and after full stops.</w:t>
      </w:r>
    </w:p>
    <w:p>
      <w:pPr/>
      <w:r>
        <w:rPr>
          <w:rFonts w:ascii="Times New Roman" w:hAnsi="Times New Roman" w:eastAsia="SimSun"/>
          <w:b w:val="0"/>
          <w:i w:val="0"/>
          <w:sz w:val="22"/>
        </w:rPr>
        <w:t>The examples cover a journal article ([1]), a book ([2]), a chapter ([3]), a dissertation ([4]), a Chinese article ([5]), a Chinese book ([6]), an online reference ([7]) and a classic monograph ([8]).</w:t>
      </w:r>
    </w:p>
    <w:p>
      <w:pPr/>
      <w:r>
        <w:rPr>
          <w:rFonts w:ascii="Times New Roman" w:hAnsi="Times New Roman" w:eastAsia="SimSun"/>
          <w:b w:val="0"/>
          <w:i w:val="0"/>
          <w:sz w:val="22"/>
        </w:rPr>
        <w:t>This is the second paragraph, with a footnote example.</w:t>
      </w:r>
      <w:r>
        <w:rPr>
          <w:rStyle w:val="FootnoteReference"/>
        </w:rPr>
        <w:footnoteReference w:id="3"/>
      </w:r>
    </w:p>
    <w:p>
      <w:pPr>
        <w:pStyle w:val="Heading1"/>
      </w:pPr>
      <w:r>
        <w:rPr>
          <w:rFonts w:ascii="Times New Roman" w:hAnsi="Times New Roman" w:eastAsia="Times New Roman"/>
          <w:b/>
          <w:i w:val="0"/>
          <w:sz w:val="24"/>
        </w:rPr>
        <w:t>2</w:t>
      </w:r>
      <w:r>
        <w:rPr>
          <w:rFonts w:ascii="Times New Roman" w:hAnsi="Times New Roman" w:eastAsia="Times New Roman"/>
          <w:b w:val="0"/>
          <w:i w:val="0"/>
          <w:sz w:val="24"/>
        </w:rPr>
        <w:t xml:space="preserve">　</w:t>
      </w:r>
      <w:r>
        <w:rPr>
          <w:rFonts w:ascii="Times New Roman" w:hAnsi="Times New Roman" w:eastAsia="Times New Roman"/>
          <w:b w:val="0"/>
          <w:i w:val="0"/>
          <w:sz w:val="24"/>
        </w:rPr>
        <w:t>Mathematical Formulas and Symbols</w:t>
      </w:r>
    </w:p>
    <w:p>
      <w:pPr>
        <w:pStyle w:val="Heading2"/>
      </w:pPr>
      <w:r>
        <w:rPr>
          <w:rFonts w:ascii="Times New Roman" w:hAnsi="Times New Roman" w:eastAsia="Times New Roman"/>
          <w:b/>
          <w:i w:val="0"/>
          <w:sz w:val="22"/>
        </w:rPr>
        <w:t>2.1</w:t>
      </w:r>
      <w:r>
        <w:rPr>
          <w:rFonts w:ascii="Times New Roman" w:hAnsi="Times New Roman" w:eastAsia="Times New Roman"/>
          <w:b w:val="0"/>
          <w:i w:val="0"/>
          <w:sz w:val="22"/>
        </w:rPr>
        <w:t xml:space="preserve">　</w:t>
      </w:r>
      <w:r>
        <w:rPr>
          <w:rFonts w:ascii="Times New Roman" w:hAnsi="Times New Roman" w:eastAsia="Times New Roman"/>
          <w:b w:val="0"/>
          <w:i w:val="0"/>
          <w:sz w:val="22"/>
        </w:rPr>
        <w:t>Inline Formulas</w:t>
      </w:r>
    </w:p>
    <w:p>
      <w:pPr/>
      <w:r>
        <w:rPr>
          <w:rFonts w:ascii="Times New Roman" w:hAnsi="Times New Roman" w:eastAsia="SimSun"/>
          <w:b w:val="0"/>
          <w:i w:val="0"/>
          <w:sz w:val="22"/>
        </w:rPr>
        <w:t xml:space="preserve">Inline formula example: let </w:t>
      </w:r>
      <m:oMath>
        <m:sSup>
          <m:e>
            <m:r>
              <m:rPr>
                <m:sty m:val="p"/>
              </m:rPr>
              <m:t xml:space="preserve">x</m:t>
            </m:r>
          </m:e>
          <m:sup>
            <m:r>
              <m:rPr>
                <m:sty m:val="p"/>
              </m:rPr>
              <m:t xml:space="preserve">2</m:t>
            </m:r>
          </m:sup>
        </m:sSup>
        <m:r>
          <m:rPr>
            <m:sty m:val="p"/>
          </m:rPr>
          <m:t xml:space="preserve">+</m:t>
        </m:r>
        <m:sSup>
          <m:e>
            <m:r>
              <m:rPr>
                <m:sty m:val="p"/>
              </m:rPr>
              <m:t xml:space="preserve">y</m:t>
            </m:r>
          </m:e>
          <m:sup>
            <m:r>
              <m:rPr>
                <m:sty m:val="p"/>
              </m:rPr>
              <m:t xml:space="preserve">2</m:t>
            </m:r>
          </m:sup>
        </m:sSup>
        <m:r>
          <m:rPr>
            <m:sty m:val="p"/>
          </m:rPr>
          <m:t xml:space="preserve">=</m:t>
        </m:r>
        <m:sSup>
          <m:e>
            <m:r>
              <m:rPr>
                <m:sty m:val="p"/>
              </m:rPr>
              <m:t xml:space="preserve">r</m:t>
            </m:r>
          </m:e>
          <m:sup>
            <m:r>
              <m:rPr>
                <m:sty m:val="p"/>
              </m:rPr>
              <m:t xml:space="preserve">2</m:t>
            </m:r>
          </m:sup>
        </m:sSup>
      </m:oMath>
      <w:r>
        <w:rPr>
          <w:rFonts w:ascii="Times New Roman" w:hAnsi="Times New Roman" w:eastAsia="SimSun"/>
          <w:b w:val="0"/>
          <w:i w:val="0"/>
          <w:sz w:val="22"/>
        </w:rPr>
        <w:t xml:space="preserve"> be the equation of a circle, and let </w:t>
      </w:r>
      <m:oMath>
        <m:r>
          <m:rPr>
            <m:sty m:val="p"/>
          </m:rPr>
          <m:t xml:space="preserve">f(x)=(1+</m:t>
        </m:r>
        <m:sSup>
          <m:e>
            <m:r>
              <m:rPr>
                <m:sty m:val="p"/>
              </m:rPr>
              <m:t xml:space="preserve">e</m:t>
            </m:r>
          </m:e>
          <m:sup>
            <m:r>
              <m:rPr>
                <m:sty m:val="p"/>
              </m:rPr>
              <m:t xml:space="preserve">−x</m:t>
            </m:r>
          </m:sup>
        </m:sSup>
        <m:sSup>
          <m:e>
            <m:r>
              <m:rPr>
                <m:sty m:val="p"/>
              </m:rPr>
              <m:t xml:space="preserve">)</m:t>
            </m:r>
          </m:e>
          <m:sup>
            <m:r>
              <m:rPr>
                <m:sty m:val="p"/>
              </m:rPr>
              <m:t xml:space="preserve">−1</m:t>
            </m:r>
          </m:sup>
        </m:sSup>
      </m:oMath>
      <w:r>
        <w:rPr>
          <w:rFonts w:ascii="Times New Roman" w:hAnsi="Times New Roman" w:eastAsia="SimSun"/>
          <w:b w:val="0"/>
          <w:i w:val="0"/>
          <w:sz w:val="22"/>
        </w:rPr>
        <w:t xml:space="preserve"> be continuous on the real line.</w:t>
      </w:r>
    </w:p>
    <w:p>
      <w:pPr>
        <w:pStyle w:val="Heading2"/>
      </w:pPr>
      <w:r>
        <w:rPr>
          <w:rFonts w:ascii="Times New Roman" w:hAnsi="Times New Roman" w:eastAsia="Times New Roman"/>
          <w:b/>
          <w:i w:val="0"/>
          <w:sz w:val="22"/>
        </w:rPr>
        <w:t>2.2</w:t>
      </w:r>
      <w:r>
        <w:rPr>
          <w:rFonts w:ascii="Times New Roman" w:hAnsi="Times New Roman" w:eastAsia="Times New Roman"/>
          <w:b w:val="0"/>
          <w:i w:val="0"/>
          <w:sz w:val="22"/>
        </w:rPr>
        <w:t xml:space="preserve">　</w:t>
      </w:r>
      <w:r>
        <w:rPr>
          <w:rFonts w:ascii="Times New Roman" w:hAnsi="Times New Roman" w:eastAsia="Times New Roman"/>
          <w:b w:val="0"/>
          <w:i w:val="0"/>
          <w:sz w:val="22"/>
        </w:rPr>
        <w:t>Display Formulas and Numbering</w:t>
      </w:r>
    </w:p>
    <w:p>
      <w:pPr>
        <w:spacing w:before="120" w:after="120" w:line="240" w:lineRule="auto"/>
        <w:ind w:firstLine="0"/>
        <w:jc w:val="center"/>
      </w:pPr>
      <m:oMathPara>
        <m:oMath>
          <m:r>
            <m:rPr>
              <m:sty m:val="p"/>
            </m:rPr>
            <m:t xml:space="preserve">f(x)=</m:t>
          </m:r>
          <m:f>
            <m:num>
              <m:r>
                <m:rPr>
                  <m:sty m:val="p"/>
                </m:rPr>
                <m:t xml:space="preserve">1</m:t>
              </m:r>
            </m:num>
            <m:den>
              <m:r>
                <m:rPr>
                  <m:sty m:val="p"/>
                </m:rPr>
                <m:t xml:space="preserve">1+</m:t>
              </m:r>
              <m:sSup>
                <m:e>
                  <m:r>
                    <m:rPr>
                      <m:sty m:val="p"/>
                    </m:rPr>
                    <m:t xml:space="preserve">e</m:t>
                  </m:r>
                </m:e>
                <m:sup>
                  <m:r>
                    <m:rPr>
                      <m:sty m:val="p"/>
                    </m:rPr>
                    <m:t xml:space="preserve">−x</m:t>
                  </m:r>
                </m:sup>
              </m:sSup>
            </m:den>
          </m:f>
        </m:oMath>
      </m:oMathPara>
    </w:p>
    <w:p>
      <w:pPr>
        <w:spacing w:before="120" w:after="120" w:line="240" w:lineRule="auto"/>
        <w:ind w:firstLine="0"/>
        <w:jc w:val="center"/>
      </w:pPr>
      <m:oMathPara>
        <m:oMath>
          <m:sSup>
            <m:e>
              <m:r>
                <m:rPr>
                  <m:sty m:val="p"/>
                </m:rPr>
                <m:t xml:space="preserve">(a+b)</m:t>
              </m:r>
            </m:e>
            <m:sup>
              <m:r>
                <m:rPr>
                  <m:sty m:val="p"/>
                </m:rPr>
                <m:t xml:space="preserve">2</m:t>
              </m:r>
            </m:sup>
          </m:sSup>
          <m:r>
            <m:rPr>
              <m:sty m:val="p"/>
            </m:rPr>
            <m:t xml:space="preserve">=</m:t>
          </m:r>
          <m:sSup>
            <m:e>
              <m:r>
                <m:rPr>
                  <m:sty m:val="p"/>
                </m:rPr>
                <m:t xml:space="preserve">a</m:t>
              </m:r>
            </m:e>
            <m:sup>
              <m:r>
                <m:rPr>
                  <m:sty m:val="p"/>
                </m:rPr>
                <m:t xml:space="preserve">2</m:t>
              </m:r>
            </m:sup>
          </m:sSup>
          <m:r>
            <m:rPr>
              <m:sty m:val="p"/>
            </m:rPr>
            <m:t xml:space="preserve">+2ab+</m:t>
          </m:r>
          <m:sSup>
            <m:e>
              <m:r>
                <m:rPr>
                  <m:sty m:val="p"/>
                </m:rPr>
                <m:t xml:space="preserve">b</m:t>
              </m:r>
            </m:e>
            <m:sup>
              <m:r>
                <m:rPr>
                  <m:sty m:val="p"/>
                </m:rPr>
                <m:t xml:space="preserve">2</m:t>
              </m:r>
            </m:sup>
          </m:sSup>
        </m:oMath>
      </m:oMathPara>
    </w:p>
    <w:p>
      <w:pPr>
        <w:spacing w:before="120" w:after="120" w:line="240" w:lineRule="auto"/>
        <w:ind w:firstLine="0"/>
        <w:jc w:val="center"/>
      </w:pPr>
      <m:oMathPara>
        <m:oMath>
          <m:sSup>
            <m:e>
              <m:r>
                <m:rPr>
                  <m:sty m:val="p"/>
                </m:rPr>
                <m:t xml:space="preserve">α</m:t>
              </m:r>
            </m:e>
            <m:sup>
              <m:r>
                <m:rPr>
                  <m:sty m:val="p"/>
                </m:rPr>
                <m:t xml:space="preserve">2</m:t>
              </m:r>
            </m:sup>
          </m:sSup>
          <m:r>
            <m:rPr>
              <m:sty m:val="p"/>
            </m:rPr>
            <m:t xml:space="preserve">+</m:t>
          </m:r>
          <m:sSup>
            <m:e>
              <m:r>
                <m:rPr>
                  <m:sty m:val="p"/>
                </m:rPr>
                <m:t xml:space="preserve">β</m:t>
              </m:r>
            </m:e>
            <m:sup>
              <m:r>
                <m:rPr>
                  <m:sty m:val="p"/>
                </m:rPr>
                <m:t xml:space="preserve">2</m:t>
              </m:r>
            </m:sup>
          </m:sSup>
          <m:r>
            <m:rPr>
              <m:sty m:val="p"/>
            </m:rPr>
            <m:t xml:space="preserve">≥2αβ</m:t>
          </m:r>
        </m:oMath>
      </m:oMathPara>
    </w:p>
    <w:p>
      <w:pPr>
        <w:spacing w:before="120" w:after="120" w:line="240" w:lineRule="auto"/>
        <w:ind w:firstLine="0"/>
        <w:jc w:val="center"/>
      </w:pPr>
      <m:oMathPara>
        <m:oMath>
          <m:nary>
            <m:naryPr>
              <m:chr m:val="∑"/>
              <m:limLoc m:val="undOvr"/>
              <m:subHide m:val="0"/>
              <m:supHide m:val="0"/>
            </m:naryPr>
            <m:sub>
              <m:r>
                <m:rPr>
                  <m:sty m:val="p"/>
                </m:rPr>
                <m:t xml:space="preserve">i=1</m:t>
              </m:r>
            </m:sub>
            <m:sup>
              <m:r>
                <m:rPr>
                  <m:sty m:val="p"/>
                </m:rPr>
                <m:t xml:space="preserve">n</m:t>
              </m:r>
            </m:sup>
            <m:e>
              <m:r>
                <m:rPr>
                  <m:sty m:val="p"/>
                </m:rPr>
                <m:t xml:space="preserve">i</m:t>
              </m:r>
            </m:e>
          </m:nary>
          <m:r>
            <m:rPr>
              <m:sty m:val="p"/>
            </m:rPr>
            <m:t xml:space="preserve">=</m:t>
          </m:r>
          <m:f>
            <m:num>
              <m:r>
                <m:rPr>
                  <m:sty m:val="p"/>
                </m:rPr>
                <m:t xml:space="preserve">n(n+1)</m:t>
              </m:r>
            </m:num>
            <m:den>
              <m:r>
                <m:rPr>
                  <m:sty m:val="p"/>
                </m:rPr>
                <m:t xml:space="preserve">2</m:t>
              </m:r>
            </m:den>
          </m:f>
        </m:oMath>
      </m:oMathPara>
    </w:p>
    <w:p>
      <w:pPr/>
      <w:r>
        <w:rPr>
          <w:rFonts w:ascii="Times New Roman" w:hAnsi="Times New Roman" w:eastAsia="SimSun"/>
          <w:b w:val="0"/>
          <w:i w:val="0"/>
          <w:sz w:val="22"/>
        </w:rPr>
        <w:t>To refer to a display equation, simply write “Eq. (1)” in the text; when the cited numbers follow the order of the display equations, the typesetting system numbers them automatically and links the cross-references (no manual numbering or placeholder is needed).</w:t>
      </w:r>
    </w:p>
    <w:p>
      <w:pPr>
        <w:pStyle w:val="Heading2"/>
      </w:pPr>
      <w:r>
        <w:rPr>
          <w:rFonts w:ascii="Times New Roman" w:hAnsi="Times New Roman" w:eastAsia="Times New Roman"/>
          <w:b/>
          <w:i w:val="0"/>
          <w:sz w:val="22"/>
        </w:rPr>
        <w:t>2.3</w:t>
      </w:r>
      <w:r>
        <w:rPr>
          <w:rFonts w:ascii="Times New Roman" w:hAnsi="Times New Roman" w:eastAsia="Times New Roman"/>
          <w:b w:val="0"/>
          <w:i w:val="0"/>
          <w:sz w:val="22"/>
        </w:rPr>
        <w:t xml:space="preserve">　</w:t>
      </w:r>
      <w:r>
        <w:rPr>
          <w:rFonts w:ascii="Times New Roman" w:hAnsi="Times New Roman" w:eastAsia="Times New Roman"/>
          <w:b w:val="0"/>
          <w:i w:val="0"/>
          <w:sz w:val="22"/>
        </w:rPr>
        <w:t>Logic Symbols</w:t>
      </w:r>
    </w:p>
    <w:p>
      <w:pPr/>
      <w:r>
        <w:rPr>
          <w:rFonts w:ascii="Times New Roman" w:hAnsi="Times New Roman" w:eastAsia="SimSun"/>
          <w:b w:val="0"/>
          <w:i w:val="0"/>
          <w:sz w:val="22"/>
        </w:rPr>
        <w:t>Logic symbols (type the Unicode characters directly; do not use symbol fonts): ¬, ∧, ∨, →, ↔, ∀, ∃, ⊢, ⊨, □, ◇, ∈, ⊆.</w:t>
      </w:r>
    </w:p>
    <w:p>
      <w:pPr>
        <w:pStyle w:val="Heading1"/>
      </w:pPr>
      <w:r>
        <w:rPr>
          <w:rFonts w:ascii="Times New Roman" w:hAnsi="Times New Roman" w:eastAsia="Times New Roman"/>
          <w:b/>
          <w:i w:val="0"/>
          <w:sz w:val="24"/>
        </w:rPr>
        <w:t>3</w:t>
      </w:r>
      <w:r>
        <w:rPr>
          <w:rFonts w:ascii="Times New Roman" w:hAnsi="Times New Roman" w:eastAsia="Times New Roman"/>
          <w:b w:val="0"/>
          <w:i w:val="0"/>
          <w:sz w:val="24"/>
        </w:rPr>
        <w:t xml:space="preserve">　</w:t>
      </w:r>
      <w:r>
        <w:rPr>
          <w:rFonts w:ascii="Times New Roman" w:hAnsi="Times New Roman" w:eastAsia="Times New Roman"/>
          <w:b w:val="0"/>
          <w:i w:val="0"/>
          <w:sz w:val="24"/>
        </w:rPr>
        <w:t>Theorems and Proofs</w:t>
      </w:r>
    </w:p>
    <w:p>
      <w:pPr>
        <w:ind w:firstLine="420"/>
      </w:pPr>
      <w:r>
        <w:rPr>
          <w:rFonts w:ascii="Times New Roman" w:hAnsi="Times New Roman" w:eastAsia="SimHei"/>
          <w:b w:val="0"/>
          <w:i w:val="0"/>
          <w:sz w:val="21"/>
        </w:rPr>
        <w:t>Theorem 1</w:t>
      </w:r>
      <w:r>
        <w:rPr>
          <w:rFonts w:ascii="Times New Roman" w:hAnsi="Times New Roman" w:eastAsia="Times New Roman"/>
          <w:b w:val="0"/>
          <w:i w:val="0"/>
          <w:sz w:val="21"/>
        </w:rPr>
        <w:t xml:space="preserve">　If the assumptions hold, then the conclusion holds.</w:t>
      </w:r>
    </w:p>
    <w:p>
      <w:pPr>
        <w:ind w:firstLine="420"/>
      </w:pPr>
      <w:r>
        <w:rPr>
          <w:rFonts w:ascii="Times New Roman" w:hAnsi="Times New Roman" w:eastAsia="SimHei"/>
          <w:b w:val="0"/>
          <w:i w:val="0"/>
          <w:sz w:val="21"/>
        </w:rPr>
        <w:t>Lemma 1</w:t>
      </w:r>
      <w:r>
        <w:rPr>
          <w:rFonts w:ascii="Times New Roman" w:hAnsi="Times New Roman" w:eastAsia="Times New Roman"/>
          <w:b w:val="0"/>
          <w:i w:val="0"/>
          <w:sz w:val="21"/>
        </w:rPr>
        <w:t xml:space="preserve">　The auxiliary claim follows directly from the definition.</w:t>
      </w:r>
    </w:p>
    <w:p>
      <w:pPr>
        <w:ind w:firstLine="420"/>
      </w:pPr>
      <w:r>
        <w:rPr>
          <w:rFonts w:ascii="Times New Roman" w:hAnsi="Times New Roman" w:eastAsia="SimHei"/>
          <w:b w:val="0"/>
          <w:i w:val="0"/>
          <w:sz w:val="21"/>
        </w:rPr>
        <w:t>Definition 1</w:t>
      </w:r>
      <w:r>
        <w:rPr>
          <w:rFonts w:ascii="Times New Roman" w:hAnsi="Times New Roman" w:eastAsia="Times New Roman"/>
          <w:b w:val="0"/>
          <w:i w:val="0"/>
          <w:sz w:val="21"/>
        </w:rPr>
        <w:t xml:space="preserve">　An object satisfying the given conditions is called an object of the relevant kind.</w:t>
      </w:r>
    </w:p>
    <w:p>
      <w:pPr/>
      <w:r>
        <w:rPr>
          <w:rFonts w:ascii="Times New Roman" w:hAnsi="Times New Roman" w:eastAsia="Times New Roman"/>
          <w:b/>
          <w:i w:val="0"/>
          <w:sz w:val="22"/>
        </w:rPr>
        <w:t>Proof.</w:t>
      </w:r>
      <w:r>
        <w:rPr>
          <w:rFonts w:ascii="Times New Roman" w:hAnsi="Times New Roman" w:eastAsia="Times New Roman"/>
          <w:b w:val="0"/>
          <w:i w:val="0"/>
          <w:sz w:val="22"/>
        </w:rPr>
        <w:t xml:space="preserve">　It follows directly from Theorem 1.　□</w:t>
      </w:r>
    </w:p>
    <w:p>
      <w:pPr>
        <w:ind w:firstLine="420"/>
      </w:pPr>
      <w:r>
        <w:rPr>
          <w:rFonts w:ascii="Times New Roman" w:hAnsi="Times New Roman" w:eastAsia="SimHei"/>
          <w:b w:val="0"/>
          <w:i w:val="0"/>
          <w:sz w:val="21"/>
        </w:rPr>
        <w:t>Proposition 1</w:t>
      </w:r>
      <w:r>
        <w:rPr>
          <w:rFonts w:ascii="Times New Roman" w:hAnsi="Times New Roman" w:eastAsia="Times New Roman"/>
          <w:b w:val="0"/>
          <w:i w:val="0"/>
          <w:sz w:val="21"/>
        </w:rPr>
        <w:t xml:space="preserve">　If the conditions hold, the proposition holds.</w:t>
      </w:r>
    </w:p>
    <w:p>
      <w:pPr>
        <w:ind w:firstLine="420"/>
      </w:pPr>
      <w:r>
        <w:rPr>
          <w:rFonts w:ascii="Times New Roman" w:hAnsi="Times New Roman" w:eastAsia="SimHei"/>
          <w:b w:val="0"/>
          <w:i w:val="0"/>
          <w:sz w:val="21"/>
        </w:rPr>
        <w:t>Corollary 1</w:t>
      </w:r>
      <w:r>
        <w:rPr>
          <w:rFonts w:ascii="Times New Roman" w:hAnsi="Times New Roman" w:eastAsia="Times New Roman"/>
          <w:b w:val="0"/>
          <w:i w:val="0"/>
          <w:sz w:val="21"/>
        </w:rPr>
        <w:t xml:space="preserve">　The conclusion follows directly from Theorem 1.</w:t>
      </w:r>
    </w:p>
    <w:p>
      <w:pPr>
        <w:ind w:firstLine="420"/>
      </w:pPr>
      <w:r>
        <w:rPr>
          <w:rFonts w:ascii="Times New Roman" w:hAnsi="Times New Roman" w:eastAsia="SimHei"/>
          <w:b w:val="0"/>
          <w:i w:val="0"/>
          <w:sz w:val="21"/>
        </w:rPr>
        <w:t>Axiom 1</w:t>
      </w:r>
      <w:r>
        <w:rPr>
          <w:rFonts w:ascii="Times New Roman" w:hAnsi="Times New Roman" w:eastAsia="Times New Roman"/>
          <w:b w:val="0"/>
          <w:i w:val="0"/>
          <w:sz w:val="21"/>
        </w:rPr>
        <w:t xml:space="preserve">　The following condition is accepted as an axiom.</w:t>
      </w:r>
    </w:p>
    <w:p>
      <w:pPr>
        <w:ind w:firstLine="420"/>
      </w:pPr>
      <w:r>
        <w:rPr>
          <w:rFonts w:ascii="Times New Roman" w:hAnsi="Times New Roman" w:eastAsia="SimHei"/>
          <w:b w:val="0"/>
          <w:i w:val="0"/>
          <w:sz w:val="21"/>
        </w:rPr>
        <w:t>Example 1</w:t>
      </w:r>
      <w:r>
        <w:rPr>
          <w:rFonts w:ascii="Times New Roman" w:hAnsi="Times New Roman" w:eastAsia="Times New Roman"/>
          <w:b w:val="0"/>
          <w:i w:val="0"/>
          <w:sz w:val="21"/>
        </w:rPr>
        <w:t xml:space="preserve">　An instance satisfying Definition 1.</w:t>
      </w:r>
    </w:p>
    <w:p>
      <w:pPr>
        <w:ind w:firstLine="420"/>
      </w:pPr>
      <w:r>
        <w:rPr>
          <w:rFonts w:ascii="Times New Roman" w:hAnsi="Times New Roman" w:eastAsia="SimHei"/>
          <w:b w:val="0"/>
          <w:i w:val="0"/>
          <w:sz w:val="21"/>
        </w:rPr>
        <w:t>Remark</w:t>
      </w:r>
      <w:r>
        <w:rPr>
          <w:rFonts w:ascii="Times New Roman" w:hAnsi="Times New Roman" w:eastAsia="Times New Roman"/>
          <w:b w:val="0"/>
          <w:i w:val="0"/>
          <w:sz w:val="21"/>
        </w:rPr>
        <w:t xml:space="preserve">　Remarks are unnumbered; supplementary explanation.</w:t>
      </w:r>
    </w:p>
    <w:p>
      <w:pPr>
        <w:pStyle w:val="Heading1"/>
      </w:pPr>
      <w:r>
        <w:rPr>
          <w:rFonts w:ascii="Times New Roman" w:hAnsi="Times New Roman" w:eastAsia="Times New Roman"/>
          <w:b/>
          <w:i w:val="0"/>
          <w:sz w:val="24"/>
        </w:rPr>
        <w:t>4</w:t>
      </w:r>
      <w:r>
        <w:rPr>
          <w:rFonts w:ascii="Times New Roman" w:hAnsi="Times New Roman" w:eastAsia="Times New Roman"/>
          <w:b w:val="0"/>
          <w:i w:val="0"/>
          <w:sz w:val="24"/>
        </w:rPr>
        <w:t xml:space="preserve">　</w:t>
      </w:r>
      <w:r>
        <w:rPr>
          <w:rFonts w:ascii="Times New Roman" w:hAnsi="Times New Roman" w:eastAsia="Times New Roman"/>
          <w:b w:val="0"/>
          <w:i w:val="0"/>
          <w:sz w:val="24"/>
        </w:rPr>
        <w:t>Figures and Tables</w:t>
      </w:r>
    </w:p>
    <w:p>
      <w:pPr>
        <w:spacing w:before="200" w:after="40"/>
        <w:jc w:val="center"/>
      </w:pPr>
      <w:r>
        <w:rPr>
          <w:rFonts w:ascii="Times New Roman" w:hAnsi="Times New Roman" w:eastAsia="SimSun"/>
          <w:b w:val="0"/>
          <w:i w:val="0"/>
          <w:sz w:val="18"/>
        </w:rPr>
        <w:drawing>
          <wp:inline xmlns:a="http://schemas.openxmlformats.org/drawingml/2006/main" xmlns:pic="http://schemas.openxmlformats.org/drawingml/2006/picture">
            <wp:extent cx="3240000" cy="1296000"/>
            <wp:docPr id="1" name="Picture 1"/>
            <wp:cNvGraphicFramePr>
              <a:graphicFrameLocks noChangeAspect="1"/>
            </wp:cNvGraphicFramePr>
            <a:graphic>
              <a:graphicData uri="http://schemas.openxmlformats.org/drawingml/2006/picture">
                <pic:pic>
                  <pic:nvPicPr>
                    <pic:cNvPr id="0" name="example-figure.png"/>
                    <pic:cNvPicPr/>
                  </pic:nvPicPr>
                  <pic:blipFill>
                    <a:blip r:embed="rId10"/>
                    <a:stretch>
                      <a:fillRect/>
                    </a:stretch>
                  </pic:blipFill>
                  <pic:spPr>
                    <a:xfrm>
                      <a:off x="0" y="0"/>
                      <a:ext cx="3240000" cy="1296000"/>
                    </a:xfrm>
                    <a:prstGeom prst="rect"/>
                  </pic:spPr>
                </pic:pic>
              </a:graphicData>
            </a:graphic>
          </wp:inline>
        </w:drawing>
      </w:r>
    </w:p>
    <w:p>
      <w:pPr>
        <w:pStyle w:val="Caption"/>
      </w:pPr>
      <w:r>
        <w:rPr>
          <w:rFonts w:ascii="Times New Roman" w:hAnsi="Times New Roman" w:eastAsia="SimSun"/>
          <w:b w:val="0"/>
          <w:i w:val="0"/>
          <w:sz w:val="21"/>
        </w:rPr>
        <w:t>Figure 1: Figure caption example.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551"/>
        <w:gridCol w:w="3118"/>
      </w:tblGrid>
      <w:tr>
        <w:tc>
          <w:tcPr>
            <w:tcW w:type="dxa" w:w="2551"/>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Item</w:t>
            </w:r>
          </w:p>
        </w:tc>
        <w:tc>
          <w:tcPr>
            <w:tcW w:type="dxa" w:w="3118"/>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Content</w:t>
            </w:r>
          </w:p>
        </w:tc>
      </w:tr>
      <w:tr>
        <w:tc>
          <w:tcPr>
            <w:tcW w:type="dxa" w:w="2551"/>
          </w:tcPr>
          <w:p>
            <w:pPr>
              <w:spacing w:before="30" w:after="30" w:line="273" w:lineRule="exact"/>
              <w:ind w:firstLine="0"/>
              <w:jc w:val="center"/>
            </w:pPr>
            <w:r>
              <w:rPr>
                <w:rFonts w:ascii="Times New Roman" w:hAnsi="Times New Roman" w:eastAsia="SimSun"/>
                <w:b w:val="0"/>
                <w:i w:val="0"/>
                <w:sz w:val="21"/>
              </w:rPr>
              <w:t>Example 1</w:t>
            </w:r>
          </w:p>
        </w:tc>
        <w:tc>
          <w:tcPr>
            <w:tcW w:type="dxa" w:w="3118"/>
          </w:tcPr>
          <w:p>
            <w:pPr>
              <w:spacing w:before="30" w:after="30" w:line="273" w:lineRule="exact"/>
              <w:ind w:firstLine="0"/>
              <w:jc w:val="center"/>
            </w:pPr>
            <w:r>
              <w:rPr>
                <w:rFonts w:ascii="Times New Roman" w:hAnsi="Times New Roman" w:eastAsia="SimSun"/>
                <w:b w:val="0"/>
                <w:i w:val="0"/>
                <w:sz w:val="21"/>
              </w:rPr>
              <w:t>……</w:t>
            </w:r>
          </w:p>
        </w:tc>
      </w:tr>
      <w:tr>
        <w:tc>
          <w:tcPr>
            <w:tcW w:type="dxa" w:w="2551"/>
          </w:tcPr>
          <w:p>
            <w:pPr>
              <w:spacing w:before="30" w:after="30" w:line="273" w:lineRule="exact"/>
              <w:ind w:firstLine="0"/>
              <w:jc w:val="center"/>
            </w:pPr>
            <w:r>
              <w:rPr>
                <w:rFonts w:ascii="Times New Roman" w:hAnsi="Times New Roman" w:eastAsia="SimSun"/>
                <w:b w:val="0"/>
                <w:i w:val="0"/>
                <w:sz w:val="21"/>
              </w:rPr>
              <w:t>Example 2</w:t>
            </w:r>
          </w:p>
        </w:tc>
        <w:tc>
          <w:tcPr>
            <w:tcW w:type="dxa" w:w="3118"/>
          </w:tcPr>
          <w:p>
            <w:pPr>
              <w:spacing w:before="30" w:after="30" w:line="273" w:lineRule="exact"/>
              <w:ind w:firstLine="0"/>
              <w:jc w:val="center"/>
            </w:pPr>
            <w:r>
              <w:rPr>
                <w:rFonts w:ascii="Times New Roman" w:hAnsi="Times New Roman" w:eastAsia="SimSun"/>
                <w:b w:val="0"/>
                <w:i w:val="0"/>
                <w:sz w:val="21"/>
              </w:rPr>
              <w:t>……</w:t>
            </w:r>
          </w:p>
        </w:tc>
      </w:tr>
    </w:tbl>
    <w:p>
      <w:pPr>
        <w:pStyle w:val="Caption"/>
        <w:keepNext/>
      </w:pPr>
      <w:r>
        <w:rPr>
          <w:rFonts w:ascii="Times New Roman" w:hAnsi="Times New Roman" w:eastAsia="SimSun"/>
          <w:b w:val="0"/>
          <w:i w:val="0"/>
          <w:sz w:val="22"/>
        </w:rPr>
        <w:t>Table 1: Table caption example.</w:t>
      </w:r>
    </w:p>
    <w:p>
      <w:pPr>
        <w:spacing w:before="40" w:after="120" w:line="276" w:lineRule="exact"/>
        <w:ind w:firstLine="0"/>
      </w:pPr>
      <w:r>
        <w:rPr>
          <w:rFonts w:ascii="Times New Roman" w:hAnsi="Times New Roman" w:eastAsia="SimSun"/>
          <w:b w:val="0"/>
          <w:i w:val="0"/>
          <w:sz w:val="18"/>
        </w:rPr>
        <w:t>Note: table notes go in a body paragraph below the table; do not put footnotes inside table cells.</w:t>
      </w:r>
    </w:p>
    <w:p>
      <w:pPr/>
      <w:r>
        <w:rPr>
          <w:rFonts w:ascii="Times New Roman" w:hAnsi="Times New Roman" w:eastAsia="SimSun"/>
          <w:b w:val="0"/>
          <w:i w:val="0"/>
          <w:sz w:val="22"/>
        </w:rPr>
        <w:t>Cross-reference example: as shown in Figure 1, see Table 1; equations are referred to as Eq. (1).</w:t>
      </w:r>
    </w:p>
    <w:p>
      <w:pPr>
        <w:pStyle w:val="Heading1"/>
      </w:pPr>
      <w:r>
        <w:rPr>
          <w:rFonts w:ascii="Times New Roman" w:hAnsi="Times New Roman" w:eastAsia="Times New Roman"/>
          <w:b/>
          <w:i w:val="0"/>
          <w:sz w:val="24"/>
        </w:rPr>
        <w:t>5</w:t>
      </w:r>
      <w:r>
        <w:rPr>
          <w:rFonts w:ascii="Times New Roman" w:hAnsi="Times New Roman" w:eastAsia="Times New Roman"/>
          <w:b w:val="0"/>
          <w:i w:val="0"/>
          <w:sz w:val="24"/>
        </w:rPr>
        <w:t xml:space="preserve">　</w:t>
      </w:r>
      <w:r>
        <w:rPr>
          <w:rFonts w:ascii="Times New Roman" w:hAnsi="Times New Roman" w:eastAsia="Times New Roman"/>
          <w:b w:val="0"/>
          <w:i w:val="0"/>
          <w:sz w:val="24"/>
        </w:rPr>
        <w:t>Style and Formatting</w:t>
      </w:r>
    </w:p>
    <w:p>
      <w:pPr>
        <w:pStyle w:val="Heading2"/>
      </w:pPr>
      <w:r>
        <w:rPr>
          <w:rFonts w:ascii="Times New Roman" w:hAnsi="Times New Roman" w:eastAsia="Times New Roman"/>
          <w:b/>
          <w:i w:val="0"/>
          <w:sz w:val="22"/>
        </w:rPr>
        <w:t>5.1</w:t>
      </w:r>
      <w:r>
        <w:rPr>
          <w:rFonts w:ascii="Times New Roman" w:hAnsi="Times New Roman" w:eastAsia="Times New Roman"/>
          <w:b w:val="0"/>
          <w:i w:val="0"/>
          <w:sz w:val="22"/>
        </w:rPr>
        <w:t xml:space="preserve">　</w:t>
      </w:r>
      <w:r>
        <w:rPr>
          <w:rFonts w:ascii="Times New Roman" w:hAnsi="Times New Roman" w:eastAsia="Times New Roman"/>
          <w:b w:val="0"/>
          <w:i w:val="0"/>
          <w:sz w:val="22"/>
        </w:rPr>
        <w:t>Punctuation and Quotation Marks</w:t>
      </w:r>
    </w:p>
    <w:p>
      <w:pPr/>
      <w:r>
        <w:rPr>
          <w:rFonts w:ascii="Times New Roman" w:hAnsi="Times New Roman" w:eastAsia="SimSun"/>
          <w:b w:val="0"/>
          <w:i w:val="0"/>
          <w:sz w:val="22"/>
        </w:rPr>
        <w:t>Use half-width punctuation in English, with one space after it. Use double quotation marks “ ” for titles of articles and single ‘ ’ for quotes within quotes; book and journal titles are italicised in the reference list (already marked in the examples).</w:t>
      </w:r>
    </w:p>
    <w:p>
      <w:pPr>
        <w:pStyle w:val="Heading2"/>
      </w:pPr>
      <w:r>
        <w:rPr>
          <w:rFonts w:ascii="Times New Roman" w:hAnsi="Times New Roman" w:eastAsia="Times New Roman"/>
          <w:b/>
          <w:i w:val="0"/>
          <w:sz w:val="22"/>
        </w:rPr>
        <w:t>5.2</w:t>
      </w:r>
      <w:r>
        <w:rPr>
          <w:rFonts w:ascii="Times New Roman" w:hAnsi="Times New Roman" w:eastAsia="Times New Roman"/>
          <w:b w:val="0"/>
          <w:i w:val="0"/>
          <w:sz w:val="22"/>
        </w:rPr>
        <w:t xml:space="preserve">　</w:t>
      </w:r>
      <w:r>
        <w:rPr>
          <w:rFonts w:ascii="Times New Roman" w:hAnsi="Times New Roman" w:eastAsia="Times New Roman"/>
          <w:b w:val="0"/>
          <w:i w:val="0"/>
          <w:sz w:val="22"/>
        </w:rPr>
        <w:t>Numbers and Dashes</w:t>
      </w:r>
    </w:p>
    <w:p>
      <w:pPr/>
      <w:r>
        <w:rPr>
          <w:rFonts w:ascii="Times New Roman" w:hAnsi="Times New Roman" w:eastAsia="SimSun"/>
          <w:b w:val="0"/>
          <w:i w:val="0"/>
          <w:sz w:val="22"/>
        </w:rPr>
        <w:t>Years are written as 2024, dates as 2024-10-24. Dashes are not interchangeable: a hyphen (-) for numbers, dates and letter series (Table 2-9, 2022-10-08, A-level); an en dash (–) for page ranges (pp. 8–12); an em dash (—) for ranges such as Beijing—Shanghai.</w:t>
      </w:r>
    </w:p>
    <w:p>
      <w:pPr>
        <w:pStyle w:val="Heading2"/>
      </w:pPr>
      <w:r>
        <w:rPr>
          <w:rFonts w:ascii="Times New Roman" w:hAnsi="Times New Roman" w:eastAsia="Times New Roman"/>
          <w:b/>
          <w:i w:val="0"/>
          <w:sz w:val="22"/>
        </w:rPr>
        <w:t>5.3</w:t>
      </w:r>
      <w:r>
        <w:rPr>
          <w:rFonts w:ascii="Times New Roman" w:hAnsi="Times New Roman" w:eastAsia="Times New Roman"/>
          <w:b w:val="0"/>
          <w:i w:val="0"/>
          <w:sz w:val="22"/>
        </w:rPr>
        <w:t xml:space="preserve">　</w:t>
      </w:r>
      <w:r>
        <w:rPr>
          <w:rFonts w:ascii="Times New Roman" w:hAnsi="Times New Roman" w:eastAsia="Times New Roman"/>
          <w:b w:val="0"/>
          <w:i w:val="0"/>
          <w:sz w:val="22"/>
        </w:rPr>
        <w:t>English Usage</w:t>
      </w:r>
    </w:p>
    <w:p>
      <w:pPr/>
      <w:r>
        <w:rPr>
          <w:rFonts w:ascii="Times New Roman" w:hAnsi="Times New Roman" w:eastAsia="SimSun"/>
          <w:b w:val="0"/>
          <w:i w:val="0"/>
          <w:sz w:val="22"/>
        </w:rPr>
        <w:t>English quotations are set as separate paragraphs without quotation marks; major section titles capitalise every major word, subsections are in sentence case; the spacing in et al. and p. 8–12 is reduced by the typesetter; use an em dash for English dashes.</w:t>
      </w:r>
    </w:p>
    <w:p>
      <w:pPr>
        <w:pStyle w:val="Heading2"/>
      </w:pPr>
      <w:r>
        <w:rPr>
          <w:rFonts w:ascii="Times New Roman" w:hAnsi="Times New Roman" w:eastAsia="Times New Roman"/>
          <w:b/>
          <w:i w:val="0"/>
          <w:sz w:val="22"/>
        </w:rPr>
        <w:t>5.4</w:t>
      </w:r>
      <w:r>
        <w:rPr>
          <w:rFonts w:ascii="Times New Roman" w:hAnsi="Times New Roman" w:eastAsia="Times New Roman"/>
          <w:b w:val="0"/>
          <w:i w:val="0"/>
          <w:sz w:val="22"/>
        </w:rPr>
        <w:t xml:space="preserve">　</w:t>
      </w:r>
      <w:r>
        <w:rPr>
          <w:rFonts w:ascii="Times New Roman" w:hAnsi="Times New Roman" w:eastAsia="Times New Roman"/>
          <w:b w:val="0"/>
          <w:i w:val="0"/>
          <w:sz w:val="22"/>
        </w:rPr>
        <w:t>Long Quotations</w:t>
      </w:r>
    </w:p>
    <w:p>
      <w:pPr>
        <w:spacing w:before="120" w:after="120" w:line="302" w:lineRule="exact"/>
        <w:ind w:leftChars="200" w:left="420" w:rightChars="200" w:right="420" w:firstLineChars="200" w:firstLine="420"/>
      </w:pPr>
      <w:r>
        <w:rPr>
          <w:rFonts w:ascii="Times New Roman" w:hAnsi="Times New Roman" w:eastAsia="SimSun"/>
          <w:b w:val="0"/>
          <w:i w:val="0"/>
          <w:sz w:val="22"/>
        </w:rPr>
        <w:t>Long quotations are set as separate paragraphs without quotation marks, with appropriate spacing from the body text; this applies to both Chinese and English quotations. Keep long quotations as separate paragraphs and do not mix footnotes into a quotation paragraph.</w:t>
      </w:r>
    </w:p>
    <w:p>
      <w:pPr>
        <w:pStyle w:val="Heading2"/>
      </w:pPr>
      <w:r>
        <w:rPr>
          <w:rFonts w:ascii="Times New Roman" w:hAnsi="Times New Roman" w:eastAsia="Times New Roman"/>
          <w:b/>
          <w:i w:val="0"/>
          <w:sz w:val="22"/>
        </w:rPr>
        <w:t>5.5</w:t>
      </w:r>
      <w:r>
        <w:rPr>
          <w:rFonts w:ascii="Times New Roman" w:hAnsi="Times New Roman" w:eastAsia="Times New Roman"/>
          <w:b w:val="0"/>
          <w:i w:val="0"/>
          <w:sz w:val="22"/>
        </w:rPr>
        <w:t xml:space="preserve">　</w:t>
      </w:r>
      <w:r>
        <w:rPr>
          <w:rFonts w:ascii="Times New Roman" w:hAnsi="Times New Roman" w:eastAsia="Times New Roman"/>
          <w:b w:val="0"/>
          <w:i w:val="0"/>
          <w:sz w:val="22"/>
        </w:rPr>
        <w:t>Footnotes</w:t>
      </w:r>
    </w:p>
    <w:p>
      <w:pPr/>
      <w:r>
        <w:rPr>
          <w:rFonts w:ascii="Times New Roman" w:hAnsi="Times New Roman" w:eastAsia="SimSun"/>
          <w:b w:val="0"/>
          <w:i w:val="0"/>
          <w:sz w:val="22"/>
        </w:rPr>
        <w:t>A footnote mark goes before a comma and after a full stop, and the footnote ends with a full stop; when one sentence has two footnotes corresponding to different parts, both go before the punctuation. Put table notes in a body paragraph below the table (for example "Note: ..."), not inside table cells.</w:t>
      </w:r>
    </w:p>
    <w:p>
      <w:pPr/>
      <w:r>
        <w:rPr>
          <w:rFonts w:ascii="Times New Roman" w:hAnsi="Times New Roman" w:eastAsia="SimSun"/>
          <w:b w:val="0"/>
          <w:i w:val="0"/>
          <w:sz w:val="22"/>
        </w:rPr>
        <w:t>Zhang says it snowed in Shanghai</w:t>
      </w:r>
      <w:r>
        <w:rPr>
          <w:rStyle w:val="FootnoteReference"/>
        </w:rPr>
        <w:footnoteReference w:id="4"/>
      </w:r>
      <w:r>
        <w:rPr>
          <w:rFonts w:ascii="Times New Roman" w:hAnsi="Times New Roman" w:eastAsia="SimSun"/>
          <w:b w:val="0"/>
          <w:i w:val="0"/>
          <w:sz w:val="22"/>
        </w:rPr>
        <w:t>, while Li says the bread was delicious</w:t>
      </w:r>
      <w:r>
        <w:rPr>
          <w:rStyle w:val="FootnoteReference"/>
        </w:rPr>
        <w:footnoteReference w:id="5"/>
      </w:r>
      <w:r>
        <w:rPr>
          <w:rFonts w:ascii="Times New Roman" w:hAnsi="Times New Roman" w:eastAsia="SimSun"/>
          <w:b w:val="0"/>
          <w:i w:val="0"/>
          <w:sz w:val="22"/>
        </w:rPr>
        <w:t>.</w:t>
      </w:r>
    </w:p>
    <w:p>
      <w:pPr>
        <w:keepNext/>
        <w:spacing w:before="320" w:after="214" w:line="302" w:lineRule="exact"/>
        <w:ind w:firstLine="0"/>
        <w:jc w:val="left"/>
      </w:pPr>
      <w:r>
        <w:rPr>
          <w:rFonts w:ascii="Times New Roman" w:hAnsi="Times New Roman" w:eastAsia="SimSun"/>
          <w:b/>
          <w:i w:val="0"/>
          <w:sz w:val="24"/>
        </w:rPr>
        <w:t>References</w:t>
      </w:r>
    </w:p>
    <w:p>
      <w:pPr>
        <w:spacing w:before="0" w:after="45" w:line="281" w:lineRule="exact"/>
        <w:ind w:left="450" w:leftChars="0" w:hanging="450"/>
        <w:jc w:val="left"/>
      </w:pPr>
      <w:r>
        <w:rPr>
          <w:rFonts w:ascii="Times New Roman" w:hAnsi="Times New Roman" w:eastAsia="SimSun"/>
          <w:b w:val="0"/>
          <w:i w:val="0"/>
          <w:sz w:val="20"/>
        </w:rPr>
        <w:t xml:space="preserve">[1] P. Benacerraf, 1981, “Frege: The last logicist”, </w:t>
      </w:r>
      <w:r>
        <w:rPr>
          <w:rFonts w:ascii="Times New Roman" w:hAnsi="Times New Roman" w:eastAsia="SimSun"/>
          <w:b w:val="0"/>
          <w:i/>
          <w:sz w:val="20"/>
        </w:rPr>
        <w:t>Midwest Studies in Philosophy</w:t>
      </w:r>
      <w:r>
        <w:rPr>
          <w:rFonts w:ascii="Times New Roman" w:hAnsi="Times New Roman" w:eastAsia="SimSun"/>
          <w:b w:val="0"/>
          <w:i w:val="0"/>
          <w:sz w:val="20"/>
        </w:rPr>
        <w:t>, 6(1): 17–35.</w:t>
      </w:r>
    </w:p>
    <w:p>
      <w:pPr>
        <w:spacing w:before="0" w:after="45" w:line="281" w:lineRule="exact"/>
        <w:ind w:left="450" w:leftChars="0" w:hanging="450"/>
        <w:jc w:val="left"/>
      </w:pPr>
      <w:r>
        <w:rPr>
          <w:rFonts w:ascii="Times New Roman" w:hAnsi="Times New Roman" w:eastAsia="SimSun"/>
          <w:b w:val="0"/>
          <w:i w:val="0"/>
          <w:sz w:val="20"/>
        </w:rPr>
        <w:t xml:space="preserve">[2] J. Bennett, 1988, </w:t>
      </w:r>
      <w:r>
        <w:rPr>
          <w:rFonts w:ascii="Times New Roman" w:hAnsi="Times New Roman" w:eastAsia="SimSun"/>
          <w:b w:val="0"/>
          <w:i/>
          <w:sz w:val="20"/>
        </w:rPr>
        <w:t>Events and Their Names</w:t>
      </w:r>
      <w:r>
        <w:rPr>
          <w:rFonts w:ascii="Times New Roman" w:hAnsi="Times New Roman" w:eastAsia="SimSun"/>
          <w:b w:val="0"/>
          <w:i w:val="0"/>
          <w:sz w:val="20"/>
        </w:rPr>
        <w:t>, Oxford: Oxford University Press.</w:t>
      </w:r>
    </w:p>
    <w:p>
      <w:pPr>
        <w:spacing w:before="0" w:after="45" w:line="281" w:lineRule="exact"/>
        <w:ind w:left="450" w:leftChars="0" w:hanging="450"/>
        <w:jc w:val="left"/>
      </w:pPr>
      <w:r>
        <w:rPr>
          <w:rFonts w:ascii="Times New Roman" w:hAnsi="Times New Roman" w:eastAsia="SimSun"/>
          <w:b w:val="0"/>
          <w:i w:val="0"/>
          <w:sz w:val="20"/>
        </w:rPr>
        <w:t xml:space="preserve">[3] L. D. d’Almeida, 2019, “On the legal syllogism”, in D. Plunkett, S. J. Shapiro and C. Toh (eds.), </w:t>
      </w:r>
      <w:r>
        <w:rPr>
          <w:rFonts w:ascii="Times New Roman" w:hAnsi="Times New Roman" w:eastAsia="SimSun"/>
          <w:b w:val="0"/>
          <w:i/>
          <w:sz w:val="20"/>
        </w:rPr>
        <w:t>Dimensions of Normativity: New Essays on Metaethics and Jurisprudence</w:t>
      </w:r>
      <w:r>
        <w:rPr>
          <w:rFonts w:ascii="Times New Roman" w:hAnsi="Times New Roman" w:eastAsia="SimSun"/>
          <w:b w:val="0"/>
          <w:i w:val="0"/>
          <w:sz w:val="20"/>
        </w:rPr>
        <w:t>, pp. 335–364, New York: Oxford Academic.</w:t>
      </w:r>
    </w:p>
    <w:p>
      <w:pPr>
        <w:spacing w:before="0" w:after="45" w:line="281" w:lineRule="exact"/>
        <w:ind w:left="450" w:leftChars="0" w:hanging="450"/>
        <w:jc w:val="left"/>
      </w:pPr>
      <w:r>
        <w:rPr>
          <w:rFonts w:ascii="Times New Roman" w:hAnsi="Times New Roman" w:eastAsia="SimSun"/>
          <w:b w:val="0"/>
          <w:i w:val="0"/>
          <w:sz w:val="20"/>
        </w:rPr>
        <w:t xml:space="preserve">[4] A. C. Hastings, 1963, </w:t>
      </w:r>
      <w:r>
        <w:rPr>
          <w:rFonts w:ascii="Times New Roman" w:hAnsi="Times New Roman" w:eastAsia="SimSun"/>
          <w:b w:val="0"/>
          <w:i/>
          <w:sz w:val="20"/>
        </w:rPr>
        <w:t>A Reformulation of the Modes of Reasoning in Argumentation</w:t>
      </w:r>
      <w:r>
        <w:rPr>
          <w:rFonts w:ascii="Times New Roman" w:hAnsi="Times New Roman" w:eastAsia="SimSun"/>
          <w:b w:val="0"/>
          <w:i w:val="0"/>
          <w:sz w:val="20"/>
        </w:rPr>
        <w:t>, PhD thesis, Northwestern University.</w:t>
      </w:r>
    </w:p>
    <w:p>
      <w:pPr>
        <w:spacing w:before="0" w:after="45" w:line="281" w:lineRule="exact"/>
        <w:ind w:left="450" w:leftChars="0" w:hanging="450"/>
        <w:jc w:val="left"/>
      </w:pPr>
      <w:r>
        <w:rPr>
          <w:rFonts w:ascii="Times New Roman" w:hAnsi="Times New Roman" w:eastAsia="SimSun"/>
          <w:b w:val="0"/>
          <w:i w:val="0"/>
          <w:sz w:val="20"/>
        </w:rPr>
        <w:t>[5] 常思礼，“试释《文心雕龙》中的‘诡’”，中北大学学报（社会科学版），2023 年第3 期，第24–31 页。</w:t>
      </w:r>
    </w:p>
    <w:p>
      <w:pPr>
        <w:spacing w:before="0" w:after="45" w:line="281" w:lineRule="exact"/>
        <w:ind w:left="450" w:leftChars="0" w:hanging="450"/>
        <w:jc w:val="left"/>
      </w:pPr>
      <w:r>
        <w:rPr>
          <w:rFonts w:ascii="Times New Roman" w:hAnsi="Times New Roman" w:eastAsia="SimSun"/>
          <w:b w:val="0"/>
          <w:i w:val="0"/>
          <w:sz w:val="20"/>
        </w:rPr>
        <w:t>[6] 汪奠基，中国逻辑思想史，武汉：武汉大学出版社，2012 年。</w:t>
      </w:r>
    </w:p>
    <w:p>
      <w:pPr>
        <w:spacing w:before="0" w:after="45" w:line="281" w:lineRule="exact"/>
        <w:ind w:left="450" w:leftChars="0" w:hanging="450"/>
        <w:jc w:val="left"/>
      </w:pPr>
      <w:r>
        <w:rPr>
          <w:rFonts w:ascii="Times New Roman" w:hAnsi="Times New Roman" w:eastAsia="SimSun"/>
          <w:b w:val="0"/>
          <w:i w:val="0"/>
          <w:sz w:val="20"/>
        </w:rPr>
        <w:t xml:space="preserve">[7] P. Bartha, 2019, “Analogy and analogical reasoning”, in E. N. Zalta (ed.), </w:t>
      </w:r>
      <w:r>
        <w:rPr>
          <w:rFonts w:ascii="Times New Roman" w:hAnsi="Times New Roman" w:eastAsia="SimSun"/>
          <w:b w:val="0"/>
          <w:i/>
          <w:sz w:val="20"/>
        </w:rPr>
        <w:t>The Stanford Encyclopedia of Philosophy</w:t>
      </w:r>
      <w:r>
        <w:rPr>
          <w:rFonts w:ascii="Times New Roman" w:hAnsi="Times New Roman" w:eastAsia="SimSun"/>
          <w:b w:val="0"/>
          <w:i w:val="0"/>
          <w:sz w:val="20"/>
        </w:rPr>
        <w:t xml:space="preserve"> (Spring 2019 Edition), https://plato.stanford.edu/archives/spr2019/entries/reasoning-analogy/.</w:t>
      </w:r>
    </w:p>
    <w:p>
      <w:pPr>
        <w:spacing w:before="0" w:after="45" w:line="281" w:lineRule="exact"/>
        <w:ind w:left="450" w:leftChars="0" w:hanging="450"/>
        <w:jc w:val="left"/>
      </w:pPr>
      <w:r>
        <w:rPr>
          <w:rFonts w:ascii="Times New Roman" w:hAnsi="Times New Roman" w:eastAsia="SimSun"/>
          <w:b w:val="0"/>
          <w:i w:val="0"/>
          <w:sz w:val="20"/>
        </w:rPr>
        <w:t xml:space="preserve">[8] B. Russell, 1905, “On denoting”, </w:t>
      </w:r>
      <w:r>
        <w:rPr>
          <w:rFonts w:ascii="Times New Roman" w:hAnsi="Times New Roman" w:eastAsia="SimSun"/>
          <w:b w:val="0"/>
          <w:i/>
          <w:sz w:val="20"/>
        </w:rPr>
        <w:t>Mind</w:t>
      </w:r>
      <w:r>
        <w:rPr>
          <w:rFonts w:ascii="Times New Roman" w:hAnsi="Times New Roman" w:eastAsia="SimSun"/>
          <w:b w:val="0"/>
          <w:i w:val="0"/>
          <w:sz w:val="20"/>
        </w:rPr>
        <w:t>, 14(56): 479–493.</w:t>
      </w:r>
    </w:p>
    <w:sectPr w:rsidR="00FC693F" w:rsidRPr="0006063C" w:rsidSect="00034616">
      <w:footerReference w:type="default" r:id="rId9"/>
      <w:pgSz w:w="9978" w:h="14173"/>
      <w:pgMar w:top="1604" w:right="1054" w:bottom="1060" w:left="1553" w:header="975"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rPr>
        <w:rFonts w:ascii="Times New Roman" w:hAnsi="Times New Roman" w:eastAsia="SimSun"/>
        <w:sz w:val="18"/>
      </w:rPr>
    </w:pPr>
    <w:fldSimple w:instr=" PAGE ">
      <w:r>
        <w:rPr>
          <w:rFonts w:ascii="Times New Roman" w:hAnsi="Times New Roman" w:eastAsia="SimSun"/>
          <w:sz w:val="18"/>
          <w:szCs w:val="18"/>
        </w:rPr>
        <w:t>1</w:t>
      </w:r>
    </w:fldSimple>
  </w:p>
</w:ftr>
</file>

<file path=word/footnotes.xml><?xml version="1.0" encoding="utf-8"?>
<w:footnotes xmlns:w="http://schemas.openxmlformats.org/wordprocessingml/2006/main">
  <w:footnote w:type="separator" w:id="-1">
    <w:p>
      <w:pPr>
        <w:spacing w:before="0" w:after="0" w:line="240" w:lineRule="auto"/>
      </w:pPr>
      <w:r>
        <w:separator/>
      </w:r>
    </w:p>
  </w:footnote>
  <w:footnote w:type="continuationSeparator" w:id="0">
    <w:p>
      <w:pPr>
        <w:spacing w:before="0" w:after="0" w:line="240" w:lineRule="auto"/>
      </w:pPr>
      <w:r>
        <w:continuationSeparator/>
      </w:r>
    </w:p>
  </w:footnote>
  <w:footnote w:id="1">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San Zhang,</w:t>
      </w:r>
      <w:r>
        <w:rPr>
          <w:rFonts w:ascii="Times New Roman" w:hAnsi="Times New Roman" w:eastAsia="Times New Roman"/>
          <w:sz w:val="18"/>
          <w:szCs w:val="18"/>
        </w:rPr>
        <w:t xml:space="preserve"> Department of Philosophy, Example University, E-mail: zhangsan@example.edu</w:t>
      </w:r>
    </w:p>
    <w:p>
      <w:pPr>
        <w:pStyle w:val="FootnoteText"/>
        <w:spacing w:before="0" w:after="0" w:line="227" w:lineRule="exact"/>
        <w:ind w:left="300" w:leftChars="0"/>
      </w:pPr>
      <w:r>
        <w:rPr>
          <w:rFonts w:ascii="Times New Roman" w:hAnsi="Times New Roman" w:eastAsia="Times New Roman"/>
          <w:sz w:val="18"/>
          <w:szCs w:val="18"/>
        </w:rPr>
        <w:t xml:space="preserve">Si Li,</w:t>
      </w:r>
      <w:r>
        <w:rPr>
          <w:rFonts w:ascii="Times New Roman" w:hAnsi="Times New Roman" w:eastAsia="Times New Roman"/>
          <w:sz w:val="18"/>
          <w:szCs w:val="18"/>
        </w:rPr>
        <w:t xml:space="preserve"> Department of Philosophy, Example University, E-mail: lisi@example.edu</w:t>
      </w:r>
    </w:p>
    <w:p>
      <w:pPr>
        <w:pStyle w:val="FootnoteText"/>
        <w:spacing w:before="0" w:after="0" w:line="227" w:lineRule="exact"/>
        <w:ind w:left="300" w:leftChars="0"/>
      </w:pPr>
      <w:r>
        <w:rPr>
          <w:rFonts w:ascii="Times New Roman" w:hAnsi="Times New Roman" w:eastAsia="Times New Roman"/>
          <w:sz w:val="18"/>
          <w:szCs w:val="18"/>
        </w:rPr>
        <w:t xml:space="preserve">Wu Wang,</w:t>
      </w:r>
      <w:r>
        <w:rPr>
          <w:rFonts w:ascii="Times New Roman" w:hAnsi="Times New Roman" w:eastAsia="Times New Roman"/>
          <w:sz w:val="18"/>
          <w:szCs w:val="18"/>
        </w:rPr>
        <w:t xml:space="preserve"> School of Philosophy, Example University, E-mail: wangwu@example.edu</w:t>
      </w:r>
    </w:p>
    <w:p>
      <w:pPr>
        <w:pStyle w:val="FootnoteText"/>
        <w:spacing w:before="0" w:after="0" w:line="227" w:lineRule="exact"/>
        <w:ind w:left="300" w:leftChars="0"/>
      </w:pPr>
      <w:r>
        <w:rPr>
          <w:rFonts w:ascii="Times New Roman" w:hAnsi="Times New Roman" w:eastAsia="Times New Roman"/>
          <w:sz w:val="18"/>
          <w:szCs w:val="18"/>
        </w:rPr>
        <w:t xml:space="preserve">Acknowledgements: </w:t>
      </w:r>
      <w:r>
        <w:rPr>
          <w:rFonts w:ascii="Times New Roman" w:hAnsi="Times New Roman" w:eastAsia="Times New Roman"/>
          <w:sz w:val="18"/>
          <w:szCs w:val="18"/>
        </w:rPr>
        <w:t xml:space="preserve">Please insert grants/acknowledgements here, or delete this line.</w:t>
      </w:r>
    </w:p>
  </w:footnote>
  <w:footnote w:id="2">
    <w:p>
      <w:pPr>
        <w:pStyle w:val="FootnoteText"/>
        <w:spacing w:before="0" w:after="0" w:line="227" w:lineRule="exact"/>
        <w:ind w:left="300" w:leftChars="0"/>
      </w:pPr>
      <w:r>
        <w:rPr>
          <w:rStyle w:val="FootnoteReference"/>
        </w:rPr>
        <w:footnoteRef/>
      </w:r>
      <w:r>
        <w:rPr>
          <w:rFonts w:ascii="Times New Roman" w:hAnsi="Times New Roman" w:eastAsia="KaiTi"/>
          <w:sz w:val="18"/>
          <w:szCs w:val="18"/>
        </w:rPr>
        <w:t xml:space="preserve">第一作者</w:t>
      </w:r>
      <w:r>
        <w:rPr>
          <w:rFonts w:ascii="Times New Roman" w:hAnsi="Times New Roman" w:eastAsia="SimSun"/>
          <w:sz w:val="18"/>
          <w:szCs w:val="18"/>
        </w:rPr>
        <w:t xml:space="preserve">　单位一</w:t>
      </w:r>
    </w:p>
    <w:p>
      <w:pPr>
        <w:pStyle w:val="FootnoteText"/>
        <w:spacing w:before="0" w:after="0" w:line="227" w:lineRule="exact"/>
        <w:ind w:left="300" w:leftChars="0"/>
      </w:pPr>
      <w:r>
        <w:rPr>
          <w:rFonts w:ascii="Times New Roman" w:hAnsi="Times New Roman" w:eastAsia="KaiTi"/>
          <w:sz w:val="18"/>
          <w:szCs w:val="18"/>
        </w:rPr>
        <w:t xml:space="preserve">第二作者</w:t>
      </w:r>
      <w:r>
        <w:rPr>
          <w:rFonts w:ascii="Times New Roman" w:hAnsi="Times New Roman" w:eastAsia="SimSun"/>
          <w:sz w:val="18"/>
          <w:szCs w:val="18"/>
        </w:rPr>
        <w:t xml:space="preserve">　单位二</w:t>
      </w:r>
    </w:p>
    <w:p>
      <w:pPr>
        <w:pStyle w:val="FootnoteText"/>
        <w:spacing w:before="0" w:after="0" w:line="227" w:lineRule="exact"/>
        <w:ind w:left="300" w:leftChars="0"/>
      </w:pPr>
      <w:r>
        <w:rPr>
          <w:rFonts w:ascii="Times New Roman" w:hAnsi="Times New Roman" w:eastAsia="KaiTi"/>
          <w:sz w:val="18"/>
          <w:szCs w:val="18"/>
        </w:rPr>
        <w:t xml:space="preserve">第三作者</w:t>
      </w:r>
      <w:r>
        <w:rPr>
          <w:rFonts w:ascii="Times New Roman" w:hAnsi="Times New Roman" w:eastAsia="SimSun"/>
          <w:sz w:val="18"/>
          <w:szCs w:val="18"/>
        </w:rPr>
        <w:t xml:space="preserve">　单位三</w:t>
      </w:r>
    </w:p>
    <w:p>
      <w:pPr>
        <w:pStyle w:val="FootnoteText"/>
        <w:spacing w:before="0" w:after="0" w:line="227" w:lineRule="exact"/>
        <w:ind w:left="300" w:leftChars="0"/>
      </w:pPr>
      <w:r>
        <w:rPr>
          <w:rFonts w:ascii="Times New Roman" w:hAnsi="Times New Roman" w:eastAsia="Times New Roman"/>
          <w:sz w:val="18"/>
          <w:szCs w:val="18"/>
        </w:rPr>
        <w:t xml:space="preserve">xxxx@xxxx.xxx</w:t>
      </w:r>
    </w:p>
  </w:footnote>
  <w:footnote w:id="3">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Footnote example: </w:t>
      </w:r>
      <w:r>
        <w:rPr>
          <w:rFonts w:ascii="Times New Roman" w:hAnsi="Times New Roman" w:eastAsia="Times New Roman"/>
          <w:sz w:val="18"/>
          <w:szCs w:val="18"/>
        </w:rPr>
        <w:t xml:space="preserve">explanatory footnotes are placed at the bottom of the page in 9 pt type.</w:t>
      </w:r>
    </w:p>
  </w:footnote>
  <w:footnote w:id="4">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 footnote.</w:t>
      </w:r>
    </w:p>
  </w:footnote>
  <w:footnote w:id="5">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another footnote.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86" w:lineRule="atLeast"/>
      <w:ind w:firstLine="420"/>
      <w:jc w:val="both"/>
      <w:overflowPunct w:val="0"/>
    </w:pPr>
    <w:rPr>
      <w:rFonts w:ascii="Times New Roman" w:hAnsi="Times New Roman" w:cs="Times New Roman" w:eastAsia="SimSun"/>
      <w:b w:val="0"/>
      <w:sz w:val="22"/>
      <w:lang w:val="en-US" w:eastAsia="en-US"/>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SimSun"/>
      <w:b w:val="0"/>
      <w:sz w:val="18"/>
      <w:lang w:val="en-US" w:eastAsia="zh-C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5" w:after="220" w:line="302" w:lineRule="exact"/>
      <w:ind w:firstLine="0"/>
      <w:jc w:val="left"/>
      <w:outlineLvl w:val="0"/>
    </w:pPr>
    <w:rPr>
      <w:rFonts w:asciiTheme="majorHAnsi" w:eastAsiaTheme="majorEastAsia" w:hAnsiTheme="majorHAnsi" w:cstheme="majorBidi" w:ascii="Times New Roman" w:hAnsi="Times New Roman" w:cs="Times New Roman" w:eastAsia="SimSun"/>
      <w:b/>
      <w:bCs/>
      <w:color w:val="000000"/>
      <w:sz w:val="24"/>
      <w:szCs w:val="28"/>
      <w:lang w:val="en-US" w:eastAsia="en-US"/>
    </w:rPr>
  </w:style>
  <w:style w:type="paragraph" w:styleId="Heading2">
    <w:name w:val="heading 2"/>
    <w:basedOn w:val="Normal"/>
    <w:next w:val="Normal"/>
    <w:link w:val="Heading2Char"/>
    <w:uiPriority w:val="9"/>
    <w:unhideWhenUsed/>
    <w:qFormat/>
    <w:rsid w:val="00FC693F"/>
    <w:pPr>
      <w:keepNext/>
      <w:keepLines/>
      <w:spacing w:before="168" w:after="147" w:line="276" w:lineRule="exact"/>
      <w:ind w:firstLine="0"/>
      <w:jc w:val="left"/>
      <w:outlineLvl w:val="1"/>
    </w:pPr>
    <w:rPr>
      <w:rFonts w:asciiTheme="majorHAnsi" w:eastAsiaTheme="majorEastAsia" w:hAnsiTheme="majorHAnsi" w:cstheme="majorBidi" w:ascii="Times New Roman" w:hAnsi="Times New Roman" w:cs="Times New Roman" w:eastAsia="SimSun"/>
      <w:b/>
      <w:bCs/>
      <w:color w:val="000000"/>
      <w:sz w:val="21"/>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436" w:lineRule="exact" w:before="486"/>
      <w:ind w:firstLine="0"/>
      <w:jc w:val="center"/>
    </w:pPr>
    <w:rPr>
      <w:rFonts w:asciiTheme="majorHAnsi" w:eastAsiaTheme="majorEastAsia" w:hAnsiTheme="majorHAnsi" w:cstheme="majorBidi" w:ascii="Times New Roman" w:hAnsi="Times New Roman" w:cs="Times New Roman" w:eastAsia="SimSun"/>
      <w:b w:val="0"/>
      <w:color w:val="000000"/>
      <w:spacing w:val="5"/>
      <w:kern w:val="28"/>
      <w:sz w:val="35"/>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exact" w:before="120" w:after="120"/>
      <w:ind w:firstLine="0"/>
      <w:jc w:val="center"/>
    </w:pPr>
    <w:rPr>
      <w:rFonts w:ascii="Times New Roman" w:hAnsi="Times New Roman" w:cs="Times New Roman" w:eastAsia="SimSun"/>
      <w:b w:val="0"/>
      <w:bCs/>
      <w:i w:val="0"/>
      <w:color w:val="000000"/>
      <w:sz w:val="22"/>
      <w:szCs w:val="18"/>
      <w:lang w:val="en-US" w:eastAsia="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basedOn w:val="Normal"/>
    <w:pPr>
      <w:spacing w:before="0" w:after="0" w:line="227" w:lineRule="exact"/>
      <w:ind w:firstLine="0"/>
      <w:jc w:val="both"/>
    </w:pPr>
    <w:rPr>
      <w:rFonts w:ascii="Times New Roman" w:hAnsi="Times New Roman" w:cs="Times New Roman" w:eastAsia="SimSun"/>
      <w:b w:val="0"/>
      <w:sz w:val="18"/>
      <w:lang w:val="en-US" w:eastAsia="zh-CN"/>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Studies in Logic author submission template (English)</dc:title>
  <dc:subject>Author submission template</dc:subject>
  <dc:creator>Studies in Logic Editorial Office</dc:creator>
  <cp:keywords/>
  <dc:description>Placeholder example; contains no real author/manuscript content.</dc:description>
  <cp:lastModifiedBy/>
  <cp:revision>1</cp:revision>
  <dcterms:created xsi:type="dcterms:W3CDTF">2013-12-23T23:15:00Z</dcterms:created>
  <dcterms:modified xsi:type="dcterms:W3CDTF">2013-12-23T23:15:00Z</dcterms:modified>
  <cp:category/>
</cp:coreProperties>
</file>