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SimSun"/>
          <w:b w:val="0"/>
          <w:i w:val="0"/>
          <w:sz w:val="36"/>
        </w:rPr>
        <w:t>论文中文标题</w:t>
      </w:r>
    </w:p>
    <w:p>
      <w:pPr>
        <w:spacing w:before="346" w:after="0" w:line="312" w:lineRule="exact"/>
        <w:ind w:firstLine="0"/>
        <w:jc w:val="center"/>
      </w:pPr>
      <w:r>
        <w:rPr>
          <w:rFonts w:ascii="Times New Roman" w:hAnsi="Times New Roman" w:eastAsia="KaiTi"/>
          <w:b w:val="0"/>
          <w:i w:val="0"/>
          <w:sz w:val="24"/>
        </w:rPr>
        <w:t>第一作者</w:t>
      </w:r>
      <w:r>
        <w:rPr>
          <w:rStyle w:val="FootnoteReference"/>
        </w:rPr>
        <w:footnoteReference w:id="1"/>
      </w:r>
    </w:p>
    <w:p>
      <w:pPr>
        <w:spacing w:before="372" w:after="8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摘　要：</w:t>
      </w:r>
      <w:r>
        <w:rPr>
          <w:rFonts w:ascii="Times New Roman" w:hAnsi="Times New Roman" w:eastAsia="SimSun"/>
          <w:b w:val="0"/>
          <w:i w:val="0"/>
          <w:sz w:val="18"/>
        </w:rPr>
        <w:t>摘要正文……</w:t>
      </w:r>
    </w:p>
    <w:p>
      <w:pPr>
        <w:spacing w:before="0" w:after="8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关键词：</w:t>
      </w:r>
      <w:r>
        <w:rPr>
          <w:rFonts w:ascii="Times New Roman" w:hAnsi="Times New Roman" w:eastAsia="SimSun"/>
          <w:b w:val="0"/>
          <w:i w:val="0"/>
          <w:sz w:val="18"/>
        </w:rPr>
        <w:t>关键词1；关键词2；关键词3</w:t>
      </w:r>
    </w:p>
    <w:p>
      <w:pPr>
        <w:spacing w:before="0" w:after="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中图分类号：</w:t>
      </w:r>
      <w:r>
        <w:rPr>
          <w:rFonts w:ascii="Times New Roman" w:hAnsi="Times New Roman" w:eastAsia="SimSun"/>
          <w:b w:val="0"/>
          <w:i w:val="0"/>
          <w:sz w:val="18"/>
        </w:rPr>
        <w:t>B81</w:t>
      </w:r>
      <w:r>
        <w:rPr>
          <w:rFonts w:ascii="Times New Roman" w:hAnsi="Times New Roman" w:eastAsia="SimSun"/>
          <w:b w:val="0"/>
          <w:i w:val="0"/>
          <w:sz w:val="19"/>
        </w:rPr>
        <w:t xml:space="preserve">　　　　</w:t>
      </w:r>
      <w:r>
        <w:rPr>
          <w:rFonts w:ascii="Times New Roman" w:hAnsi="Times New Roman" w:eastAsia="SimHei"/>
          <w:b w:val="0"/>
          <w:i w:val="0"/>
          <w:sz w:val="21"/>
        </w:rPr>
        <w:t>文献标识码：</w:t>
      </w:r>
      <w:r>
        <w:rPr>
          <w:rFonts w:ascii="Times New Roman" w:hAnsi="Times New Roman" w:eastAsia="SimSun"/>
          <w:b w:val="0"/>
          <w:i w:val="0"/>
          <w:sz w:val="18"/>
        </w:rPr>
        <w:t>A</w:t>
      </w:r>
    </w:p>
    <w:p>
      <w:pPr>
        <w:pStyle w:val="Heading1"/>
        <w:spacing w:before="507"/>
      </w:pPr>
      <w:r>
        <w:rPr>
          <w:rFonts w:ascii="Times New Roman" w:hAnsi="Times New Roman" w:eastAsia="SimHei"/>
          <w:b/>
          <w:i w:val="0"/>
          <w:sz w:val="24"/>
        </w:rPr>
        <w:t>1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引言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正文从这里开始。请在此填写论文正文。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正文中的文献引用统一写成「方括号编号 + 圆括号」形式，编号与文末「参考文献」清单一致：只引一篇写</w:t>
      </w:r>
      <w:r>
        <w:rPr>
          <w:rFonts w:ascii="Times New Roman" w:hAnsi="Times New Roman" w:eastAsia="SimSun"/>
          <w:b w:val="0"/>
          <w:i w:val="0"/>
          <w:sz w:val="21"/>
        </w:rPr>
        <w:t>（[1]）</w:t>
      </w:r>
      <w:r>
        <w:rPr>
          <w:rFonts w:ascii="Times New Roman" w:hAnsi="Times New Roman" w:eastAsia="SimSun"/>
          <w:b w:val="0"/>
          <w:i w:val="0"/>
          <w:sz w:val="21"/>
        </w:rPr>
        <w:t>；引专著并标页码写</w:t>
      </w:r>
      <w:r>
        <w:rPr>
          <w:rFonts w:ascii="Times New Roman" w:hAnsi="Times New Roman" w:eastAsia="SimSun"/>
          <w:b w:val="0"/>
          <w:i w:val="0"/>
          <w:sz w:val="21"/>
        </w:rPr>
        <w:t>（[3]，第45 页）</w:t>
      </w:r>
      <w:r>
        <w:rPr>
          <w:rFonts w:ascii="Times New Roman" w:hAnsi="Times New Roman" w:eastAsia="SimSun"/>
          <w:b w:val="0"/>
          <w:i w:val="0"/>
          <w:sz w:val="21"/>
        </w:rPr>
        <w:t>；同一处引多篇写</w:t>
      </w:r>
      <w:r>
        <w:rPr>
          <w:rFonts w:ascii="Times New Roman" w:hAnsi="Times New Roman" w:eastAsia="SimSun"/>
          <w:b w:val="0"/>
          <w:i w:val="0"/>
          <w:sz w:val="21"/>
        </w:rPr>
        <w:t>（[1，2]）</w:t>
      </w:r>
      <w:r>
        <w:rPr>
          <w:rFonts w:ascii="Times New Roman" w:hAnsi="Times New Roman" w:eastAsia="SimSun"/>
          <w:b w:val="0"/>
          <w:i w:val="0"/>
          <w:sz w:val="21"/>
        </w:rPr>
        <w:t>；带引导语写</w:t>
      </w:r>
      <w:r>
        <w:rPr>
          <w:rFonts w:ascii="Times New Roman" w:hAnsi="Times New Roman" w:eastAsia="SimSun"/>
          <w:b w:val="0"/>
          <w:i w:val="0"/>
          <w:sz w:val="21"/>
        </w:rPr>
        <w:t>参见（[4]）</w:t>
      </w:r>
      <w:r>
        <w:rPr>
          <w:rFonts w:ascii="Times New Roman" w:hAnsi="Times New Roman" w:eastAsia="SimSun"/>
          <w:b w:val="0"/>
          <w:i w:val="0"/>
          <w:sz w:val="21"/>
        </w:rPr>
        <w:t>。引用标记放在逗号前、句号后。文献示例覆盖以下各类条目：专著（[3]）、译著（[5]）、编著章节（[6]）、会议论文（[7]）、学位论文（[8]）与网络资源（[9]）。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正文第二段，含一个脚注示例。</w:t>
      </w:r>
      <w:r>
        <w:rPr>
          <w:rStyle w:val="FootnoteReference"/>
        </w:rPr>
        <w:footnoteReference w:id="2"/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2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数学公式与符号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2.1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行内公式与逻辑符号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行内公式示例：设</w:t>
      </w:r>
      <m:oMath>
        <m:sSup>
          <m:e>
            <m:r>
              <m:rPr>
                <m:sty m:val="p"/>
              </m:rPr>
              <m:t xml:space="preserve">x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+</m:t>
        </m:r>
        <m:sSup>
          <m:e>
            <m:r>
              <m:rPr>
                <m:sty m:val="p"/>
              </m:rPr>
              <m:t xml:space="preserve">y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=</m:t>
        </m:r>
        <m:sSup>
          <m:e>
            <m:r>
              <m:rPr>
                <m:sty m:val="p"/>
              </m:rPr>
              <m:t xml:space="preserve">r</m:t>
            </m:r>
          </m:e>
          <m:sup>
            <m:r>
              <m:rPr>
                <m:sty m:val="p"/>
              </m:rPr>
              <m:t xml:space="preserve">2</m:t>
            </m:r>
          </m:sup>
        </m:sSup>
      </m:oMath>
      <w:r>
        <w:rPr>
          <w:rFonts w:ascii="Times New Roman" w:hAnsi="Times New Roman" w:eastAsia="SimSun"/>
          <w:b w:val="0"/>
          <w:i w:val="0"/>
          <w:sz w:val="21"/>
        </w:rPr>
        <w:t>为圆的方程；函数</w:t>
      </w:r>
      <m:oMath>
        <m:r>
          <m:rPr>
            <m:sty m:val="p"/>
          </m:rPr>
          <m:t xml:space="preserve">f(x)=</m:t>
        </m:r>
        <m:f>
          <m:num>
            <m:r>
              <m:rPr>
                <m:sty m:val="p"/>
              </m:rPr>
              <m:t xml:space="preserve">1</m:t>
            </m:r>
          </m:num>
          <m:den>
            <m:r>
              <m:rPr>
                <m:sty m:val="p"/>
              </m:rPr>
              <m:t xml:space="preserve">1+</m:t>
            </m:r>
            <m:sSup>
              <m:e>
                <m:r>
                  <m:rPr>
                    <m:sty m:val="p"/>
                  </m:rPr>
                  <m:t xml:space="preserve">e</m:t>
                </m:r>
              </m:e>
              <m:sup>
                <m:r>
                  <m:rPr>
                    <m:sty m:val="p"/>
                  </m:rPr>
                  <m:t xml:space="preserve">−x</m:t>
                </m:r>
              </m:sup>
            </m:sSup>
          </m:den>
        </m:f>
      </m:oMath>
      <w:r>
        <w:rPr>
          <w:rFonts w:ascii="Times New Roman" w:hAnsi="Times New Roman" w:eastAsia="SimSun"/>
          <w:b w:val="0"/>
          <w:i w:val="0"/>
          <w:sz w:val="21"/>
        </w:rPr>
        <w:t>在实数域上连续；对任意</w:t>
      </w:r>
      <m:oMath>
        <m:r>
          <m:rPr>
            <m:sty m:val="p"/>
          </m:rPr>
          <m:t xml:space="preserve">ε&gt;0</m:t>
        </m:r>
      </m:oMath>
      <w:r>
        <w:rPr>
          <w:rFonts w:ascii="Times New Roman" w:hAnsi="Times New Roman" w:eastAsia="SimSun"/>
          <w:b w:val="0"/>
          <w:i w:val="0"/>
          <w:sz w:val="21"/>
        </w:rPr>
        <w:t>，存在</w:t>
      </w:r>
      <m:oMath>
        <m:r>
          <m:rPr>
            <m:sty m:val="p"/>
          </m:rPr>
          <m:t xml:space="preserve">δ&gt;0</m:t>
        </m:r>
      </m:oMath>
      <w:r>
        <w:rPr>
          <w:rFonts w:ascii="Times New Roman" w:hAnsi="Times New Roman" w:eastAsia="SimSun"/>
          <w:b w:val="0"/>
          <w:i w:val="0"/>
          <w:sz w:val="21"/>
        </w:rPr>
        <w:t>，当</w:t>
      </w:r>
      <m:oMath>
        <m:r>
          <m:rPr>
            <m:sty m:val="p"/>
          </m:rPr>
          <m:t xml:space="preserve">|x−</m:t>
        </m:r>
        <m:sSub>
          <m:e>
            <m:r>
              <m:rPr>
                <m:sty m:val="p"/>
              </m:rPr>
              <m:t xml:space="preserve">x</m:t>
            </m:r>
          </m:e>
          <m:sub>
            <m:r>
              <m:rPr>
                <m:sty m:val="p"/>
              </m:rPr>
              <m:t xml:space="preserve">0</m:t>
            </m:r>
          </m:sub>
        </m:sSub>
        <m:r>
          <m:rPr>
            <m:sty m:val="p"/>
          </m:rPr>
          <m:t xml:space="preserve">|&lt;δ</m:t>
        </m:r>
      </m:oMath>
      <w:r>
        <w:rPr>
          <w:rFonts w:ascii="Times New Roman" w:hAnsi="Times New Roman" w:eastAsia="SimSun"/>
          <w:b w:val="0"/>
          <w:i w:val="0"/>
          <w:sz w:val="21"/>
        </w:rPr>
        <w:t>时有</w:t>
      </w:r>
      <m:oMath>
        <m:r>
          <m:rPr>
            <m:sty m:val="p"/>
          </m:rPr>
          <m:t xml:space="preserve">|f(x)−f(</m:t>
        </m:r>
        <m:sSub>
          <m:e>
            <m:r>
              <m:rPr>
                <m:sty m:val="p"/>
              </m:rPr>
              <m:t xml:space="preserve">x</m:t>
            </m:r>
          </m:e>
          <m:sub>
            <m:r>
              <m:rPr>
                <m:sty m:val="p"/>
              </m:rPr>
              <m:t xml:space="preserve">0</m:t>
            </m:r>
          </m:sub>
        </m:sSub>
        <m:r>
          <m:rPr>
            <m:sty m:val="p"/>
          </m:rPr>
          <m:t xml:space="preserve">)|&lt;ε</m:t>
        </m:r>
      </m:oMath>
      <w:r>
        <w:rPr>
          <w:rFonts w:ascii="Times New Roman" w:hAnsi="Times New Roman" w:eastAsia="SimSun"/>
          <w:b w:val="0"/>
          <w:i w:val="0"/>
          <w:sz w:val="21"/>
        </w:rPr>
        <w:t>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逻辑符号示例（请直接输入 Unicode 字符，不要使用符号字体）：¬、∧、∨、→、↔、∀、∃、⊢、⊨、□、◇、∈、⊆。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2.2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独立公式</w:t>
      </w:r>
    </w:p>
    <w:p>
      <w:pPr>
        <w:spacing w:before="120" w:after="120" w:line="240" w:lineRule="auto"/>
        <w:ind w:firstLine="0"/>
        <w:jc w:val="center"/>
      </w:pPr>
      <m:oMathPara>
        <m:oMath>
          <m:r>
            <m:rPr>
              <m:sty m:val="p"/>
            </m:rPr>
            <m:t xml:space="preserve">f(x)=</m:t>
          </m:r>
          <m:f>
            <m:num>
              <m:r>
                <m:rPr>
                  <m:sty m:val="p"/>
                </m:rPr>
                <m:t xml:space="preserve">1</m:t>
              </m:r>
            </m:num>
            <m:den>
              <m:r>
                <m:rPr>
                  <m:sty m:val="p"/>
                </m:rPr>
                <m:t xml:space="preserve">1+</m:t>
              </m:r>
              <m:sSup>
                <m:e>
                  <m:r>
                    <m:rPr>
                      <m:sty m:val="p"/>
                    </m:rPr>
                    <m:t xml:space="preserve">e</m:t>
                  </m:r>
                </m:e>
                <m:sup>
                  <m:r>
                    <m:rPr>
                      <m:sty m:val="p"/>
                    </m:rPr>
                    <m:t xml:space="preserve">−x</m:t>
                  </m:r>
                </m:sup>
              </m:sSup>
            </m:den>
          </m:f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(a+b)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=</m:t>
          </m:r>
          <m:sSup>
            <m:e>
              <m:r>
                <m:rPr>
                  <m:sty m:val="p"/>
                </m:rPr>
                <m:t xml:space="preserve">a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+2ab+</m:t>
          </m:r>
          <m:sSup>
            <m:e>
              <m:r>
                <m:rPr>
                  <m:sty m:val="p"/>
                </m:rPr>
                <m:t xml:space="preserve">b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α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</m:t>
          </m:r>
          <m:sSup>
            <m:e>
              <m:r>
                <m:rPr>
                  <m:sty m:val="p"/>
                </m:rPr>
                <m:t xml:space="preserve">β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≥2αβ</m:t>
          </m:r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nary>
            <m:naryPr>
              <m:chr m:val="∑"/>
              <m:limLoc m:val="undOvr"/>
              <m:subHide m:val="0"/>
              <m:supHide m:val="0"/>
            </m:naryPr>
            <m:sub>
              <m:r>
                <m:rPr>
                  <m:sty m:val="p"/>
                </m:rPr>
                <m:t xml:space="preserve">i=1</m:t>
              </m:r>
            </m:sub>
            <m:sup>
              <m:r>
                <m:rPr>
                  <m:sty m:val="p"/>
                </m:rPr>
                <m:t xml:space="preserve">n</m:t>
              </m:r>
            </m:sup>
            <m:e>
              <m:r>
                <m:rPr>
                  <m:sty m:val="p"/>
                </m:rPr>
                <m:t xml:space="preserve">i</m:t>
              </m:r>
            </m:e>
          </m:nary>
          <m:r>
            <m:rPr>
              <m:sty m:val="p"/>
            </m:rPr>
            <m:t xml:space="preserve">=</m:t>
          </m:r>
          <m:f>
            <m:num>
              <m:r>
                <m:rPr>
                  <m:sty m:val="p"/>
                </m:rPr>
                <m:t xml:space="preserve">n(n+1)</m:t>
              </m:r>
            </m:num>
            <m:den>
              <m:r>
                <m:rPr>
                  <m:sty m:val="p"/>
                </m:rPr>
                <m:t xml:space="preserve">2</m:t>
              </m:r>
            </m:den>
          </m:f>
        </m:oMath>
      </m:oMathPara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3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定理、引理与证明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定理1</w:t>
      </w:r>
      <w:r>
        <w:rPr>
          <w:rFonts w:ascii="Times New Roman" w:hAnsi="Times New Roman" w:eastAsia="KaiTi"/>
          <w:b w:val="0"/>
          <w:i w:val="0"/>
          <w:sz w:val="21"/>
        </w:rPr>
        <w:t xml:space="preserve">　若公式成立且条件满足，则结论成立。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引理1</w:t>
      </w:r>
      <w:r>
        <w:rPr>
          <w:rFonts w:ascii="Times New Roman" w:hAnsi="Times New Roman" w:eastAsia="KaiTi"/>
          <w:b w:val="0"/>
          <w:i w:val="0"/>
          <w:sz w:val="21"/>
        </w:rPr>
        <w:t xml:space="preserve">　由定义可直接验证辅助结论。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定义1</w:t>
      </w:r>
      <w:r>
        <w:rPr>
          <w:rFonts w:ascii="Times New Roman" w:hAnsi="Times New Roman" w:eastAsia="SimSun"/>
          <w:b w:val="0"/>
          <w:i w:val="0"/>
          <w:sz w:val="21"/>
        </w:rPr>
        <w:t xml:space="preserve">　若对象满足给定条件，则称该对象为某类对象。</w:t>
      </w:r>
    </w:p>
    <w:p>
      <w:pPr/>
      <w:r>
        <w:rPr>
          <w:rFonts w:ascii="Times New Roman" w:hAnsi="Times New Roman" w:eastAsia="KaiTi"/>
          <w:b w:val="0"/>
          <w:i w:val="0"/>
          <w:sz w:val="21"/>
        </w:rPr>
        <w:t>证明.</w:t>
      </w:r>
      <w:r>
        <w:rPr>
          <w:rFonts w:ascii="Times New Roman" w:hAnsi="Times New Roman" w:eastAsia="SimSun"/>
          <w:b w:val="0"/>
          <w:i w:val="0"/>
          <w:sz w:val="21"/>
        </w:rPr>
        <w:t xml:space="preserve">　由定理1 直接可得。</w:t>
      </w:r>
      <w:r>
        <w:rPr>
          <w:rFonts w:ascii="Times New Roman" w:hAnsi="Times New Roman" w:eastAsia="SimSun"/>
          <w:b w:val="0"/>
          <w:i w:val="0"/>
          <w:sz w:val="21"/>
        </w:rPr>
        <w:t xml:space="preserve">　□</w:t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4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图表示例</w:t>
      </w:r>
    </w:p>
    <w:p>
      <w:pPr>
        <w:spacing w:before="200" w:after="40" w:line="273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18"/>
        </w:rPr>
        <w:t>（此处插入图片：请单独成段插入 PNG/JPG）</w:t>
      </w:r>
    </w:p>
    <w:p>
      <w:pPr>
        <w:pStyle w:val="Caption"/>
      </w:pPr>
      <w:r>
        <w:rPr>
          <w:rFonts w:ascii="Times New Roman" w:hAnsi="Times New Roman" w:eastAsia="SimSun"/>
          <w:b w:val="0"/>
          <w:i w:val="0"/>
          <w:sz w:val="21"/>
        </w:rPr>
        <w:t>图1: 图题示例</w:t>
      </w:r>
    </w:p>
    <w:p>
      <w:pPr>
        <w:pStyle w:val="Caption"/>
        <w:keepNext/>
      </w:pPr>
      <w:r>
        <w:rPr>
          <w:rFonts w:ascii="Times New Roman" w:hAnsi="Times New Roman" w:eastAsia="SimSun"/>
          <w:b w:val="0"/>
          <w:i w:val="0"/>
          <w:sz w:val="21"/>
        </w:rPr>
        <w:t>表1: 表题示例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51"/>
        <w:gridCol w:w="3118"/>
      </w:tblGrid>
      <w:tr>
        <w:tc>
          <w:tcPr>
            <w:tcW w:type="dxa" w:w="2551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项目</w:t>
            </w:r>
          </w:p>
        </w:tc>
        <w:tc>
          <w:tcPr>
            <w:tcW w:type="dxa" w:w="3118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示例一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示例二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</w:tbl>
    <w:p>
      <w:pPr>
        <w:keepNext/>
        <w:spacing w:before="340" w:after="210" w:line="312" w:lineRule="exact"/>
        <w:ind w:firstLine="0"/>
        <w:jc w:val="left"/>
      </w:pPr>
      <w:r>
        <w:rPr>
          <w:rFonts w:ascii="Times New Roman" w:hAnsi="Times New Roman" w:eastAsia="SimHei"/>
          <w:b w:val="0"/>
          <w:i w:val="0"/>
          <w:sz w:val="24"/>
        </w:rPr>
        <w:t>参考文献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[1] 作者甲，作者乙，“中文期刊论文题名”，逻辑学研究，2023 年第4 期，第12–28 页。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[2] A. Alpha and B. Beta, 2021, “An English Journal Article Title”, Studies in Logic, 14(2): 101–120.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[3] 作者丙，中文图书书名，北京：某某出版社，2019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[4] C. Gamma, 2018, An English Book Title, Dordrecht: Example Press.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[5] 作者丁，中文译著书名，作者戊译，上海：某某出版社，2020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[6] 作者己，“编著章节题名”，编者庚（编），文集书名，北京：某某出版社，2017 年，第33–50 页。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[7] 作者辛，“会议论文题名”，会议论文集，广州：某某出版社，2022 年，第7–15 页。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[8] 作者壬，中文学位论文题名，博士学位论文，某某大学，2016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[9] 作者癸，2024 年，网络资源题名，https://example.org/entry。</w:t>
      </w:r>
    </w:p>
    <w:p>
      <w:r>
        <w:br w:type="page"/>
      </w:r>
    </w:p>
    <w:p>
      <w:pPr>
        <w:spacing w:before="0" w:after="0" w:line="296" w:lineRule="exact"/>
        <w:ind w:firstLine="0"/>
      </w:pPr>
    </w:p>
    <w:p>
      <w:pPr>
        <w:spacing w:before="0" w:after="0" w:line="436" w:lineRule="exact"/>
        <w:ind w:firstLine="0"/>
        <w:jc w:val="center"/>
      </w:pPr>
      <w:r>
        <w:rPr>
          <w:rFonts w:ascii="Times New Roman" w:hAnsi="Times New Roman" w:eastAsia="SimSun"/>
          <w:b/>
          <w:i w:val="0"/>
          <w:sz w:val="30"/>
        </w:rPr>
        <w:t>English Title</w:t>
      </w:r>
    </w:p>
    <w:p>
      <w:pPr>
        <w:spacing w:before="507" w:after="0" w:line="302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21"/>
        </w:rPr>
        <w:t>First Author</w:t>
      </w:r>
      <w:r>
        <w:rPr>
          <w:rStyle w:val="FootnoteReference"/>
        </w:rPr>
        <w:footnoteReference w:id="3"/>
      </w:r>
    </w:p>
    <w:p>
      <w:pPr>
        <w:spacing w:before="204" w:after="109" w:line="302" w:lineRule="exact"/>
        <w:ind w:firstLine="0"/>
        <w:jc w:val="center"/>
      </w:pPr>
      <w:r>
        <w:rPr>
          <w:rFonts w:ascii="Times New Roman" w:hAnsi="Times New Roman" w:eastAsia="SimSun"/>
          <w:b/>
          <w:i w:val="0"/>
          <w:sz w:val="24"/>
        </w:rPr>
        <w:t>Abstract</w:t>
      </w:r>
    </w:p>
    <w:p>
      <w:pPr>
        <w:spacing w:before="0" w:after="0" w:line="328" w:lineRule="exact"/>
        <w:ind w:firstLine="420" w:firstLineChars="200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Abstract text in English. Please insert the English abstract of the paper here.</w:t>
      </w:r>
    </w:p>
    <w:sectPr w:rsidR="00FC693F" w:rsidRPr="0006063C" w:rsidSect="00034616">
      <w:footerReference w:type="default" r:id="rId9"/>
      <w:pgSz w:w="9978" w:h="14173"/>
      <w:pgMar w:top="1604" w:right="1054" w:bottom="1060" w:left="1553" w:header="975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rPr>
        <w:rFonts w:ascii="Times New Roman" w:hAnsi="Times New Roman" w:eastAsia="SimSun"/>
        <w:sz w:val="18"/>
      </w:rPr>
    </w:pPr>
    <w:fldSimple w:instr=" PAGE ">
      <w:r>
        <w:rPr>
          <w:rFonts w:ascii="Times New Roman" w:hAnsi="Times New Roman" w:eastAsia="SimSun"/>
          <w:sz w:val="18"/>
          <w:szCs w:val="18"/>
        </w:rPr>
        <w:t>1</w:t>
      </w:r>
    </w:fldSimple>
  </w:p>
</w:ftr>
</file>

<file path=word/footnotes.xml><?xml version="1.0" encoding="utf-8"?>
<w:footnotes xmlns:w="http://schemas.openxmlformats.org/wordprocessingml/2006/main">
  <w:footnote w:type="separator" w:id="-1">
    <w:p>
      <w:pPr>
        <w:spacing w:before="0" w:after="0" w:line="240" w:lineRule="auto"/>
      </w:pPr>
      <w:r>
        <w:separator/>
      </w:r>
    </w:p>
  </w:footnote>
  <w:footnote w:type="continuationSeparator" w:id="0">
    <w:p>
      <w:pPr>
        <w:spacing w:before="0" w:after="0" w:line="240" w:lineRule="auto"/>
      </w:pPr>
      <w:r>
        <w:continuationSeparator/>
      </w:r>
    </w:p>
  </w:footnote>
  <w:footnote w:id="1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Hei"/>
          <w:sz w:val="15"/>
          <w:szCs w:val="15"/>
        </w:rPr>
        <w:t xml:space="preserve">作者信息：</w:t>
      </w:r>
      <w:r>
        <w:rPr>
          <w:rFonts w:ascii="Times New Roman" w:hAnsi="Times New Roman" w:eastAsia="SimSun"/>
          <w:sz w:val="15"/>
          <w:szCs w:val="15"/>
        </w:rPr>
        <w:t xml:space="preserve">第一作者，单位名称（到系所），城市 邮编；E-mail：xxxx@xxxx.xxx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Hei"/>
          <w:sz w:val="15"/>
          <w:szCs w:val="15"/>
        </w:rPr>
        <w:t xml:space="preserve">基金项目：</w:t>
      </w:r>
      <w:r>
        <w:rPr>
          <w:rFonts w:ascii="Times New Roman" w:hAnsi="Times New Roman" w:eastAsia="SimSun"/>
          <w:sz w:val="15"/>
          <w:szCs w:val="15"/>
        </w:rPr>
        <w:t xml:space="preserve">国家社会科学基金项目（编号：XXXXXXXX）。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Hei"/>
          <w:sz w:val="15"/>
          <w:szCs w:val="15"/>
        </w:rPr>
        <w:t xml:space="preserve">致　　谢：</w:t>
      </w:r>
      <w:r>
        <w:rPr>
          <w:rFonts w:ascii="Times New Roman" w:hAnsi="Times New Roman" w:eastAsia="SimSun"/>
          <w:sz w:val="15"/>
          <w:szCs w:val="15"/>
        </w:rPr>
        <w:t xml:space="preserve">感谢……。</w:t>
      </w:r>
    </w:p>
  </w:footnote>
  <w:footnote w:id="2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Hei"/>
          <w:sz w:val="15"/>
          <w:szCs w:val="15"/>
        </w:rPr>
        <w:t xml:space="preserve">脚注示例：</w:t>
      </w:r>
      <w:r>
        <w:rPr>
          <w:rFonts w:ascii="Times New Roman" w:hAnsi="Times New Roman" w:eastAsia="SimSun"/>
          <w:sz w:val="15"/>
          <w:szCs w:val="15"/>
        </w:rPr>
        <w:t xml:space="preserve">说明性脚注排在页面底部，六号宋体，缩进 2 个字符。</w:t>
      </w:r>
    </w:p>
  </w:footnote>
  <w:footnote w:id="3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5"/>
          <w:szCs w:val="15"/>
        </w:rPr>
        <w:t xml:space="preserve">First Author</w:t>
      </w:r>
      <w:r>
        <w:t xml:space="preserve">　</w:t>
      </w:r>
      <w:r>
        <w:rPr>
          <w:rFonts w:ascii="Times New Roman" w:hAnsi="Times New Roman" w:eastAsia="Times New Roman"/>
          <w:sz w:val="15"/>
          <w:szCs w:val="15"/>
        </w:rPr>
        <w:t xml:space="preserve">Department of Philosophy, Example University; E-mail: xxxx@xxxx.xxx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mirrorMargin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28" w:lineRule="exact"/>
      <w:ind w:firstLine="420"/>
      <w:jc w:val="both"/>
      <w:overflowPunct w:val="0"/>
    </w:pPr>
    <w:rPr>
      <w:rFonts w:ascii="Times New Roman" w:hAnsi="Times New Roman" w:cs="Times New Roman" w:eastAsia="SimSun"/>
      <w:b w:val="0"/>
      <w:sz w:val="21"/>
      <w:lang w:val="en-US" w:eastAsia="zh-CN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imSun"/>
      <w:b w:val="0"/>
      <w:sz w:val="18"/>
      <w:lang w:val="en-US" w:eastAsia="zh-C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76" w:after="218" w:line="312" w:lineRule="exact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SimHei"/>
      <w:b w:val="0"/>
      <w:bCs/>
      <w:color w:val="000000"/>
      <w:sz w:val="24"/>
      <w:szCs w:val="28"/>
      <w:lang w:val="en-US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40" w:line="328" w:lineRule="exact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SimHei"/>
      <w:b w:val="0"/>
      <w:bCs/>
      <w:color w:val="000000"/>
      <w:sz w:val="21"/>
      <w:szCs w:val="26"/>
      <w:lang w:val="en-US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0" w:line="468" w:lineRule="exact" w:before="522"/>
      <w:ind w:firstLine="0"/>
      <w:jc w:val="center"/>
    </w:pPr>
    <w:rPr>
      <w:rFonts w:asciiTheme="majorHAnsi" w:eastAsiaTheme="majorEastAsia" w:hAnsiTheme="majorHAnsi" w:cstheme="majorBidi" w:ascii="Times New Roman" w:hAnsi="Times New Roman" w:cs="Times New Roman" w:eastAsia="SimSun"/>
      <w:b w:val="0"/>
      <w:color w:val="000000"/>
      <w:spacing w:val="5"/>
      <w:kern w:val="28"/>
      <w:sz w:val="36"/>
      <w:szCs w:val="52"/>
      <w:lang w:val="en-US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3" w:lineRule="exact" w:before="120" w:after="120"/>
      <w:ind w:firstLine="0"/>
      <w:jc w:val="center"/>
    </w:pPr>
    <w:rPr>
      <w:rFonts w:ascii="Times New Roman" w:hAnsi="Times New Roman" w:cs="Times New Roman" w:eastAsia="SimSun"/>
      <w:b w:val="0"/>
      <w:bCs/>
      <w:i w:val="0"/>
      <w:color w:val="000000"/>
      <w:sz w:val="21"/>
      <w:szCs w:val="18"/>
      <w:lang w:val="en-US" w:eastAsia="zh-CN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otnoteText">
    <w:name w:val="Footnote Text"/>
    <w:basedOn w:val="Normal"/>
    <w:pPr>
      <w:spacing w:before="0" w:after="0" w:line="234" w:lineRule="exact"/>
      <w:ind w:firstLine="0"/>
      <w:jc w:val="both"/>
    </w:pPr>
    <w:rPr>
      <w:rFonts w:ascii="Times New Roman" w:hAnsi="Times New Roman" w:cs="Times New Roman" w:eastAsia="SimSun"/>
      <w:b w:val="0"/>
      <w:sz w:val="15"/>
      <w:lang w:val="en-US" w:eastAsia="zh-CN"/>
    </w:rPr>
  </w:style>
  <w:style w:type="character" w:customStyle="1" w:styleId="FootnoteReference">
    <w:name w:val="Footnote Reference"/>
    <w:rPr>
      <w:vertAlign w:val="superscript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《逻辑学研究》作者投稿模板（中文版）</dc:title>
  <dc:subject>作者投稿模板</dc:subject>
  <dc:creator>《逻辑学研究》编辑部</dc:creator>
  <cp:keywords/>
  <dc:description>占位示例；不含真实作者/稿件内容。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