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SimSun"/>
          <w:b w:val="0"/>
          <w:i w:val="0"/>
          <w:sz w:val="36"/>
        </w:rPr>
        <w:t>论文中文标题</w:t>
      </w:r>
    </w:p>
    <w:p>
      <w:pPr>
        <w:spacing w:before="346" w:after="0" w:line="312" w:lineRule="exact"/>
        <w:ind w:firstLine="0"/>
        <w:jc w:val="center"/>
      </w:pPr>
      <w:r>
        <w:rPr>
          <w:rFonts w:ascii="Times New Roman" w:hAnsi="Times New Roman" w:eastAsia="KaiTi"/>
          <w:b w:val="0"/>
          <w:i w:val="0"/>
          <w:sz w:val="24"/>
        </w:rPr>
        <w:t>张三　李四　王五</w:t>
      </w:r>
      <w:r>
        <w:rPr>
          <w:rStyle w:val="FootnoteReference"/>
        </w:rPr>
        <w:footnoteReference w:id="1"/>
      </w:r>
    </w:p>
    <w:p>
      <w:pPr>
        <w:spacing w:before="372" w:after="80" w:line="281" w:lineRule="exact"/>
        <w:ind w:firstLine="0" w:left="284" w:leftChars="0" w:right="284"/>
        <w:jc w:val="left"/>
      </w:pPr>
      <w:r>
        <w:rPr>
          <w:rFonts w:ascii="Times New Roman" w:hAnsi="Times New Roman" w:eastAsia="SimHei"/>
          <w:b w:val="0"/>
          <w:i w:val="0"/>
          <w:sz w:val="21"/>
        </w:rPr>
        <w:t>摘　要：</w:t>
      </w:r>
      <w:r>
        <w:rPr>
          <w:rFonts w:ascii="Times New Roman" w:hAnsi="Times New Roman" w:eastAsia="SimSun"/>
          <w:b w:val="0"/>
          <w:i w:val="0"/>
          <w:sz w:val="18"/>
        </w:rPr>
        <w:t>摘要正文……</w:t>
      </w:r>
    </w:p>
    <w:p>
      <w:pPr>
        <w:spacing w:before="0" w:after="80" w:line="281" w:lineRule="exact"/>
        <w:ind w:firstLine="0" w:left="284" w:leftChars="0" w:right="284"/>
        <w:jc w:val="left"/>
      </w:pPr>
      <w:r>
        <w:rPr>
          <w:rFonts w:ascii="Times New Roman" w:hAnsi="Times New Roman" w:eastAsia="SimHei"/>
          <w:b w:val="0"/>
          <w:i w:val="0"/>
          <w:sz w:val="21"/>
        </w:rPr>
        <w:t>关键词：</w:t>
      </w:r>
      <w:r>
        <w:rPr>
          <w:rFonts w:ascii="Times New Roman" w:hAnsi="Times New Roman" w:eastAsia="SimSun"/>
          <w:b w:val="0"/>
          <w:i w:val="0"/>
          <w:sz w:val="18"/>
        </w:rPr>
        <w:t>关键词1；关键词2；关键词3</w:t>
      </w:r>
    </w:p>
    <w:p>
      <w:pPr>
        <w:spacing w:before="0" w:after="0" w:line="281" w:lineRule="exact"/>
        <w:ind w:firstLine="0" w:left="284" w:leftChars="0" w:right="284"/>
        <w:jc w:val="left"/>
      </w:pPr>
      <w:r>
        <w:rPr>
          <w:rFonts w:ascii="Times New Roman" w:hAnsi="Times New Roman" w:eastAsia="SimHei"/>
          <w:b w:val="0"/>
          <w:i w:val="0"/>
          <w:sz w:val="21"/>
        </w:rPr>
        <w:t>中图分类号：</w:t>
      </w:r>
      <w:r>
        <w:rPr>
          <w:rFonts w:ascii="Times New Roman" w:hAnsi="Times New Roman" w:eastAsia="SimSun"/>
          <w:b w:val="0"/>
          <w:i w:val="0"/>
          <w:sz w:val="18"/>
        </w:rPr>
        <w:t>B81</w:t>
      </w:r>
      <w:r>
        <w:rPr>
          <w:rFonts w:ascii="Times New Roman" w:hAnsi="Times New Roman" w:eastAsia="SimSun"/>
          <w:b w:val="0"/>
          <w:i w:val="0"/>
          <w:sz w:val="19"/>
        </w:rPr>
        <w:t xml:space="preserve">　　　　</w:t>
      </w:r>
      <w:r>
        <w:rPr>
          <w:rFonts w:ascii="Times New Roman" w:hAnsi="Times New Roman" w:eastAsia="SimHei"/>
          <w:b w:val="0"/>
          <w:i w:val="0"/>
          <w:sz w:val="21"/>
        </w:rPr>
        <w:t>文献标识码：</w:t>
      </w:r>
      <w:r>
        <w:rPr>
          <w:rFonts w:ascii="Times New Roman" w:hAnsi="Times New Roman" w:eastAsia="SimSun"/>
          <w:b w:val="0"/>
          <w:i w:val="0"/>
          <w:sz w:val="18"/>
        </w:rPr>
        <w:t>A</w:t>
      </w:r>
    </w:p>
    <w:p>
      <w:pPr>
        <w:pStyle w:val="Heading1"/>
        <w:spacing w:before="507"/>
      </w:pPr>
      <w:r>
        <w:rPr>
          <w:rFonts w:ascii="Times New Roman" w:hAnsi="Times New Roman" w:eastAsia="SimHei"/>
          <w:b/>
          <w:i w:val="0"/>
          <w:sz w:val="24"/>
        </w:rPr>
        <w:t>1</w:t>
      </w:r>
      <w:r>
        <w:rPr>
          <w:rFonts w:ascii="Times New Roman" w:hAnsi="Times New Roman" w:eastAsia="SimHei"/>
          <w:b w:val="0"/>
          <w:i w:val="0"/>
          <w:sz w:val="24"/>
        </w:rPr>
        <w:t xml:space="preserve">　</w:t>
      </w:r>
      <w:r>
        <w:rPr>
          <w:rFonts w:ascii="Times New Roman" w:hAnsi="Times New Roman" w:eastAsia="SimHei"/>
          <w:b w:val="0"/>
          <w:i w:val="0"/>
          <w:sz w:val="24"/>
        </w:rPr>
        <w:t>引言</w:t>
      </w:r>
    </w:p>
    <w:p>
      <w:pPr/>
      <w:r>
        <w:rPr>
          <w:rFonts w:ascii="Times New Roman" w:hAnsi="Times New Roman" w:eastAsia="SimSun"/>
          <w:b w:val="0"/>
          <w:i w:val="0"/>
          <w:sz w:val="21"/>
        </w:rPr>
        <w:t>正文从这里开始。请在此填写论文正文。</w:t>
      </w:r>
    </w:p>
    <w:p>
      <w:pPr/>
      <w:r>
        <w:rPr>
          <w:rFonts w:ascii="Times New Roman" w:hAnsi="Times New Roman" w:eastAsia="SimSun"/>
          <w:b w:val="0"/>
          <w:i w:val="0"/>
          <w:sz w:val="21"/>
        </w:rPr>
        <w:t>正文中的文献引用一般直接加括号写在正文里，例如只引一篇写</w:t>
      </w:r>
      <w:r>
        <w:rPr>
          <w:rFonts w:ascii="Times New Roman" w:hAnsi="Times New Roman" w:eastAsia="SimSun"/>
          <w:b w:val="0"/>
          <w:i w:val="0"/>
          <w:sz w:val="21"/>
        </w:rPr>
        <w:t>（[1]）</w:t>
      </w:r>
      <w:r>
        <w:rPr>
          <w:rFonts w:ascii="Times New Roman" w:hAnsi="Times New Roman" w:eastAsia="SimSun"/>
          <w:b w:val="0"/>
          <w:i w:val="0"/>
          <w:sz w:val="21"/>
        </w:rPr>
        <w:t>；引专著并标具体页码写</w:t>
      </w:r>
      <w:r>
        <w:rPr>
          <w:rFonts w:ascii="Times New Roman" w:hAnsi="Times New Roman" w:eastAsia="SimSun"/>
          <w:b w:val="0"/>
          <w:i w:val="0"/>
          <w:sz w:val="21"/>
        </w:rPr>
        <w:t>（[2]，第45 页）</w:t>
      </w:r>
      <w:r>
        <w:rPr>
          <w:rFonts w:ascii="Times New Roman" w:hAnsi="Times New Roman" w:eastAsia="SimSun"/>
          <w:b w:val="0"/>
          <w:i w:val="0"/>
          <w:sz w:val="21"/>
        </w:rPr>
        <w:t>；同一处引多篇文献时只写一个括号、序号由小到大，如</w:t>
      </w:r>
      <w:r>
        <w:rPr>
          <w:rFonts w:ascii="Times New Roman" w:hAnsi="Times New Roman" w:eastAsia="SimSun"/>
          <w:b w:val="0"/>
          <w:i w:val="0"/>
          <w:sz w:val="21"/>
        </w:rPr>
        <w:t>（[1，5，6]）</w:t>
      </w:r>
      <w:r>
        <w:rPr>
          <w:rFonts w:ascii="Times New Roman" w:hAnsi="Times New Roman" w:eastAsia="SimSun"/>
          <w:b w:val="0"/>
          <w:i w:val="0"/>
          <w:sz w:val="21"/>
        </w:rPr>
        <w:t>；带引导语（参见、参看、详见等）时编号不加括号，写</w:t>
      </w:r>
      <w:r>
        <w:rPr>
          <w:rFonts w:ascii="Times New Roman" w:hAnsi="Times New Roman" w:eastAsia="SimSun"/>
          <w:b w:val="0"/>
          <w:i w:val="0"/>
          <w:sz w:val="21"/>
        </w:rPr>
        <w:t>参见文献[4]</w:t>
      </w:r>
      <w:r>
        <w:rPr>
          <w:rFonts w:ascii="Times New Roman" w:hAnsi="Times New Roman" w:eastAsia="SimSun"/>
          <w:b w:val="0"/>
          <w:i w:val="0"/>
          <w:sz w:val="21"/>
        </w:rPr>
        <w:t>。引用标记放在逗号前、句号后；摘要中不使用引用编号，按「作者（年份）」叙述。</w:t>
      </w:r>
    </w:p>
    <w:p>
      <w:pPr/>
      <w:r>
        <w:rPr>
          <w:rFonts w:ascii="Times New Roman" w:hAnsi="Times New Roman" w:eastAsia="SimSun"/>
          <w:b w:val="0"/>
          <w:i w:val="0"/>
          <w:sz w:val="21"/>
        </w:rPr>
        <w:t>本模板示例共引用 8 类文献：中文期刊（[1]）、中文图书（[2]）、中文译著（[3]）、中文学位论文（[4]）、英文期刊（[5]）、英文编著章节（[6]）、英文图书（[7]）、网络资源（[8]）。</w:t>
      </w:r>
    </w:p>
    <w:p>
      <w:pPr/>
      <w:r>
        <w:rPr>
          <w:rFonts w:ascii="Times New Roman" w:hAnsi="Times New Roman" w:eastAsia="SimSun"/>
          <w:b w:val="0"/>
          <w:i w:val="0"/>
          <w:sz w:val="21"/>
        </w:rPr>
        <w:t>正文第二段，含一个脚注示例。</w:t>
      </w:r>
      <w:r>
        <w:rPr>
          <w:rStyle w:val="FootnoteReference"/>
        </w:rPr>
        <w:footnoteReference w:id="2"/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sz w:val="24"/>
        </w:rPr>
        <w:t>2</w:t>
      </w:r>
      <w:r>
        <w:rPr>
          <w:rFonts w:ascii="Times New Roman" w:hAnsi="Times New Roman" w:eastAsia="SimHei"/>
          <w:b w:val="0"/>
          <w:i w:val="0"/>
          <w:sz w:val="24"/>
        </w:rPr>
        <w:t xml:space="preserve">　</w:t>
      </w:r>
      <w:r>
        <w:rPr>
          <w:rFonts w:ascii="Times New Roman" w:hAnsi="Times New Roman" w:eastAsia="SimHei"/>
          <w:b w:val="0"/>
          <w:i w:val="0"/>
          <w:sz w:val="24"/>
        </w:rPr>
        <w:t>数学公式与符号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sz w:val="21"/>
        </w:rPr>
        <w:t>2.1</w:t>
      </w:r>
      <w:r>
        <w:rPr>
          <w:rFonts w:ascii="Times New Roman" w:hAnsi="Times New Roman" w:eastAsia="SimHei"/>
          <w:b w:val="0"/>
          <w:i w:val="0"/>
          <w:sz w:val="21"/>
        </w:rPr>
        <w:t xml:space="preserve">　</w:t>
      </w:r>
      <w:r>
        <w:rPr>
          <w:rFonts w:ascii="Times New Roman" w:hAnsi="Times New Roman" w:eastAsia="SimHei"/>
          <w:b w:val="0"/>
          <w:i w:val="0"/>
          <w:sz w:val="21"/>
        </w:rPr>
        <w:t>行内公式与逻辑符号</w:t>
      </w:r>
    </w:p>
    <w:p>
      <w:pPr/>
      <w:r>
        <w:rPr>
          <w:rFonts w:ascii="Times New Roman" w:hAnsi="Times New Roman" w:eastAsia="SimSun"/>
          <w:b w:val="0"/>
          <w:i w:val="0"/>
          <w:sz w:val="21"/>
        </w:rPr>
        <w:t>行内公式示例：设</w:t>
      </w:r>
      <m:oMath>
        <m:sSup>
          <m:e>
            <m:r>
              <m:rPr>
                <m:sty m:val="p"/>
              </m:rPr>
              <m:t xml:space="preserve">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+</m:t>
        </m:r>
        <m:sSup>
          <m:e>
            <m:r>
              <m:rPr>
                <m:sty m:val="p"/>
              </m:rPr>
              <m:t xml:space="preserve">y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=</m:t>
        </m:r>
        <m:sSup>
          <m:e>
            <m:r>
              <m:rPr>
                <m:sty m:val="p"/>
              </m:rPr>
              <m:t xml:space="preserve">r</m:t>
            </m:r>
          </m:e>
          <m:sup>
            <m:r>
              <m:rPr>
                <m:sty m:val="p"/>
              </m:rPr>
              <m:t xml:space="preserve">2</m:t>
            </m:r>
          </m:sup>
        </m:sSup>
      </m:oMath>
      <w:r>
        <w:rPr>
          <w:rFonts w:ascii="Times New Roman" w:hAnsi="Times New Roman" w:eastAsia="SimSun"/>
          <w:b w:val="0"/>
          <w:i w:val="0"/>
          <w:sz w:val="21"/>
        </w:rPr>
        <w:t>为圆的方程；函数</w:t>
      </w:r>
      <m:oMath>
        <m:r>
          <m:rPr>
            <m:sty m:val="p"/>
          </m:rPr>
          <m:t xml:space="preserve">f(x)=(1+</m:t>
        </m:r>
        <m:sSup>
          <m:e>
            <m:r>
              <m:rPr>
                <m:sty m:val="p"/>
              </m:rPr>
              <m:t xml:space="preserve">e</m:t>
            </m:r>
          </m:e>
          <m:sup>
            <m:r>
              <m:rPr>
                <m:sty m:val="p"/>
              </m:rPr>
              <m:t xml:space="preserve">−x</m:t>
            </m:r>
          </m:sup>
        </m:sSup>
        <m:r>
          <m:rPr>
            <m:sty m:val="p"/>
          </m:rPr>
          <m:t xml:space="preserve">)</m:t>
        </m:r>
        <m:sSup>
          <m:e>
            <m:r>
              <m:rPr>
                <m:sty m:val="p"/>
              </m:rPr>
              <m:t xml:space="preserve">)</m:t>
            </m:r>
          </m:e>
          <m:sup>
            <m:r>
              <m:rPr>
                <m:sty m:val="p"/>
              </m:rPr>
              <m:t xml:space="preserve">−1</m:t>
            </m:r>
          </m:sup>
        </m:sSup>
      </m:oMath>
      <w:r>
        <w:rPr>
          <w:rFonts w:ascii="Times New Roman" w:hAnsi="Times New Roman" w:eastAsia="SimSun"/>
          <w:b w:val="0"/>
          <w:i w:val="0"/>
          <w:sz w:val="21"/>
        </w:rPr>
        <w:t>在实数域上连续；对任意</w:t>
      </w:r>
      <m:oMath>
        <m:r>
          <m:rPr>
            <m:sty m:val="p"/>
          </m:rPr>
          <m:t xml:space="preserve">ε&gt;0</m:t>
        </m:r>
      </m:oMath>
      <w:r>
        <w:rPr>
          <w:rFonts w:ascii="Times New Roman" w:hAnsi="Times New Roman" w:eastAsia="SimSun"/>
          <w:b w:val="0"/>
          <w:i w:val="0"/>
          <w:sz w:val="21"/>
        </w:rPr>
        <w:t>，存在</w:t>
      </w:r>
      <m:oMath>
        <m:r>
          <m:rPr>
            <m:sty m:val="p"/>
          </m:rPr>
          <m:t xml:space="preserve">δ&gt;0</m:t>
        </m:r>
      </m:oMath>
      <w:r>
        <w:rPr>
          <w:rFonts w:ascii="Times New Roman" w:hAnsi="Times New Roman" w:eastAsia="SimSun"/>
          <w:b w:val="0"/>
          <w:i w:val="0"/>
          <w:sz w:val="21"/>
        </w:rPr>
        <w:t>，当</w:t>
      </w:r>
      <m:oMath>
        <m:r>
          <m:rPr>
            <m:sty m:val="p"/>
          </m:rPr>
          <m:t xml:space="preserve">|x−</m:t>
        </m:r>
        <m:sSub>
          <m:e>
            <m:r>
              <m:rPr>
                <m:sty m:val="p"/>
              </m:rPr>
              <m:t xml:space="preserve">x</m:t>
            </m:r>
          </m:e>
          <m:sub>
            <m:r>
              <m:rPr>
                <m:sty m:val="p"/>
              </m:rPr>
              <m:t xml:space="preserve">0</m:t>
            </m:r>
          </m:sub>
        </m:sSub>
        <m:r>
          <m:rPr>
            <m:sty m:val="p"/>
          </m:rPr>
          <m:t xml:space="preserve">|&lt;δ</m:t>
        </m:r>
      </m:oMath>
      <w:r>
        <w:rPr>
          <w:rFonts w:ascii="Times New Roman" w:hAnsi="Times New Roman" w:eastAsia="SimSun"/>
          <w:b w:val="0"/>
          <w:i w:val="0"/>
          <w:sz w:val="21"/>
        </w:rPr>
        <w:t>时有</w:t>
      </w:r>
      <m:oMath>
        <m:r>
          <m:rPr>
            <m:sty m:val="p"/>
          </m:rPr>
          <m:t xml:space="preserve">|f(x)−f(</m:t>
        </m:r>
        <m:sSub>
          <m:e>
            <m:r>
              <m:rPr>
                <m:sty m:val="p"/>
              </m:rPr>
              <m:t xml:space="preserve">x</m:t>
            </m:r>
          </m:e>
          <m:sub>
            <m:r>
              <m:rPr>
                <m:sty m:val="p"/>
              </m:rPr>
              <m:t xml:space="preserve">0</m:t>
            </m:r>
          </m:sub>
        </m:sSub>
        <m:r>
          <m:rPr>
            <m:sty m:val="p"/>
          </m:rPr>
          <m:t xml:space="preserve">)|&lt;ε</m:t>
        </m:r>
      </m:oMath>
      <w:r>
        <w:rPr>
          <w:rFonts w:ascii="Times New Roman" w:hAnsi="Times New Roman" w:eastAsia="SimSun"/>
          <w:b w:val="0"/>
          <w:i w:val="0"/>
          <w:sz w:val="21"/>
        </w:rPr>
        <w:t>。</w:t>
      </w:r>
    </w:p>
    <w:p>
      <w:pPr/>
      <w:r>
        <w:rPr>
          <w:rFonts w:ascii="Times New Roman" w:hAnsi="Times New Roman" w:eastAsia="SimSun"/>
          <w:b w:val="0"/>
          <w:i w:val="0"/>
          <w:sz w:val="21"/>
        </w:rPr>
        <w:t>逻辑符号示例（请直接输入 Unicode 字符，不要使用符号字体）：¬、∧、∨、→、↔、∀、∃、⊢、⊨、□、◇、∈、⊆。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sz w:val="21"/>
        </w:rPr>
        <w:t>2.2</w:t>
      </w:r>
      <w:r>
        <w:rPr>
          <w:rFonts w:ascii="Times New Roman" w:hAnsi="Times New Roman" w:eastAsia="SimHei"/>
          <w:b w:val="0"/>
          <w:i w:val="0"/>
          <w:sz w:val="21"/>
        </w:rPr>
        <w:t xml:space="preserve">　</w:t>
      </w:r>
      <w:r>
        <w:rPr>
          <w:rFonts w:ascii="Times New Roman" w:hAnsi="Times New Roman" w:eastAsia="SimHei"/>
          <w:b w:val="0"/>
          <w:i w:val="0"/>
          <w:sz w:val="21"/>
        </w:rPr>
        <w:t>独立公式</w:t>
      </w:r>
    </w:p>
    <w:p>
      <w:pPr>
        <w:spacing w:before="120" w:after="120" w:line="240" w:lineRule="auto"/>
        <w:ind w:firstLine="0"/>
        <w:jc w:val="center"/>
      </w:pPr>
      <m:oMathPara>
        <m:oMath>
          <m:r>
            <m:rPr>
              <m:sty m:val="p"/>
            </m:rPr>
            <m:t xml:space="preserve">f(x)=</m:t>
          </m:r>
          <m:f>
            <m:num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1+</m:t>
              </m:r>
              <m:sSup>
                <m:e>
                  <m:r>
                    <m:rPr>
                      <m:sty m:val="p"/>
                    </m:rPr>
                    <m:t xml:space="preserve">e</m:t>
                  </m:r>
                </m:e>
                <m:sup>
                  <m:r>
                    <m:rPr>
                      <m:sty m:val="p"/>
                    </m:rPr>
                    <m:t xml:space="preserve">−x</m:t>
                  </m:r>
                </m:sup>
              </m:sSup>
            </m:den>
          </m:f>
        </m:oMath>
      </m:oMathPara>
    </w:p>
    <w:p>
      <w:pPr>
        <w:spacing w:before="120" w:after="120" w:line="240" w:lineRule="auto"/>
        <w:ind w:firstLine="0"/>
        <w:jc w:val="center"/>
      </w:pPr>
      <m:oMathPara>
        <m:oMath>
          <m:sSup>
            <m:e>
              <m:r>
                <m:rPr>
                  <m:sty m:val="p"/>
                </m:rPr>
                <m:t xml:space="preserve">(a+b)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a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+2ab+</m:t>
          </m:r>
          <m:sSup>
            <m:e>
              <m:r>
                <m:rPr>
                  <m:sty m:val="p"/>
                </m:rPr>
                <m:t xml:space="preserve">b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</m:oMath>
      </m:oMathPara>
    </w:p>
    <w:p>
      <w:pPr>
        <w:spacing w:before="120" w:after="120" w:line="240" w:lineRule="auto"/>
        <w:ind w:firstLine="0"/>
        <w:jc w:val="center"/>
      </w:pPr>
      <m:oMathPara>
        <m:oMath>
          <m:sSup>
            <m:e>
              <m:r>
                <m:rPr>
                  <m:sty m:val="p"/>
                </m:rPr>
                <m:t xml:space="preserve">α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+</m:t>
          </m:r>
          <m:sSup>
            <m:e>
              <m:r>
                <m:rPr>
                  <m:sty m:val="p"/>
                </m:rPr>
                <m:t xml:space="preserve">β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≥2αβ</m:t>
          </m:r>
        </m:oMath>
      </m:oMathPara>
    </w:p>
    <w:p>
      <w:pPr>
        <w:spacing w:before="120" w:after="120" w:line="240" w:lineRule="auto"/>
        <w:ind w:firstLine="0"/>
        <w:jc w:val="center"/>
      </w:pPr>
      <m:oMathPara>
        <m:oMath>
          <m:nary>
            <m:naryPr>
              <m:chr m:val="∑"/>
              <m:limLoc m:val="undOvr"/>
              <m:subHide m:val="0"/>
              <m:supHide m:val="0"/>
            </m:naryPr>
            <m:sub>
              <m:r>
                <m:rPr>
                  <m:sty m:val="p"/>
                </m:rPr>
                <m:t xml:space="preserve">i=1</m:t>
              </m:r>
            </m:sub>
            <m:sup>
              <m:r>
                <m:rPr>
                  <m:sty m:val="p"/>
                </m:rPr>
                <m:t xml:space="preserve">n</m:t>
              </m:r>
            </m:sup>
            <m:e>
              <m:r>
                <m:rPr>
                  <m:sty m:val="p"/>
                </m:rPr>
                <m:t xml:space="preserve">i</m:t>
              </m:r>
            </m:e>
          </m:nary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n(n+1)</m:t>
              </m:r>
            </m:num>
            <m:den>
              <m:r>
                <m:rPr>
                  <m:sty m:val="p"/>
                </m:rPr>
                <m:t xml:space="preserve">2</m:t>
              </m:r>
            </m:den>
          </m:f>
        </m:oMath>
      </m:oMathPara>
    </w:p>
    <w:p>
      <w:pPr>
        <w:pStyle w:val="Heading1"/>
      </w:pPr>
      <w:r>
        <w:rPr>
          <w:rFonts w:ascii="Times New Roman" w:hAnsi="Times New Roman" w:eastAsia="SimHei"/>
          <w:b/>
          <w:i w:val="0"/>
          <w:sz w:val="24"/>
        </w:rPr>
        <w:t>3</w:t>
      </w:r>
      <w:r>
        <w:rPr>
          <w:rFonts w:ascii="Times New Roman" w:hAnsi="Times New Roman" w:eastAsia="SimHei"/>
          <w:b w:val="0"/>
          <w:i w:val="0"/>
          <w:sz w:val="24"/>
        </w:rPr>
        <w:t xml:space="preserve">　</w:t>
      </w:r>
      <w:r>
        <w:rPr>
          <w:rFonts w:ascii="Times New Roman" w:hAnsi="Times New Roman" w:eastAsia="SimHei"/>
          <w:b w:val="0"/>
          <w:i w:val="0"/>
          <w:sz w:val="24"/>
        </w:rPr>
        <w:t>定理、引理与证明</w:t>
      </w:r>
    </w:p>
    <w:p>
      <w:pPr>
        <w:ind w:firstLine="420"/>
      </w:pPr>
      <w:r>
        <w:rPr>
          <w:rFonts w:ascii="Times New Roman" w:hAnsi="Times New Roman" w:eastAsia="SimHei"/>
          <w:b w:val="0"/>
          <w:i w:val="0"/>
          <w:sz w:val="21"/>
        </w:rPr>
        <w:t>定理1</w:t>
      </w:r>
      <w:r>
        <w:rPr>
          <w:rFonts w:ascii="Times New Roman" w:hAnsi="Times New Roman" w:eastAsia="KaiTi"/>
          <w:b w:val="0"/>
          <w:i w:val="0"/>
          <w:sz w:val="21"/>
        </w:rPr>
        <w:t xml:space="preserve">　若公式成立且条件满足，则结论成立。</w:t>
      </w:r>
    </w:p>
    <w:p>
      <w:pPr>
        <w:ind w:firstLine="420"/>
      </w:pPr>
      <w:r>
        <w:rPr>
          <w:rFonts w:ascii="Times New Roman" w:hAnsi="Times New Roman" w:eastAsia="SimHei"/>
          <w:b w:val="0"/>
          <w:i w:val="0"/>
          <w:sz w:val="21"/>
        </w:rPr>
        <w:t>引理1</w:t>
      </w:r>
      <w:r>
        <w:rPr>
          <w:rFonts w:ascii="Times New Roman" w:hAnsi="Times New Roman" w:eastAsia="KaiTi"/>
          <w:b w:val="0"/>
          <w:i w:val="0"/>
          <w:sz w:val="21"/>
        </w:rPr>
        <w:t xml:space="preserve">　由定义可直接验证辅助结论。</w:t>
      </w:r>
    </w:p>
    <w:p>
      <w:pPr>
        <w:ind w:firstLine="420"/>
      </w:pPr>
      <w:r>
        <w:rPr>
          <w:rFonts w:ascii="Times New Roman" w:hAnsi="Times New Roman" w:eastAsia="SimHei"/>
          <w:b w:val="0"/>
          <w:i w:val="0"/>
          <w:sz w:val="21"/>
        </w:rPr>
        <w:t>定义1</w:t>
      </w:r>
      <w:r>
        <w:rPr>
          <w:rFonts w:ascii="Times New Roman" w:hAnsi="Times New Roman" w:eastAsia="SimSun"/>
          <w:b w:val="0"/>
          <w:i w:val="0"/>
          <w:sz w:val="21"/>
        </w:rPr>
        <w:t xml:space="preserve">　若对象满足给定条件，则称该对象为某类对象。</w:t>
      </w:r>
    </w:p>
    <w:p>
      <w:pPr/>
      <w:r>
        <w:rPr>
          <w:rFonts w:ascii="Times New Roman" w:hAnsi="Times New Roman" w:eastAsia="KaiTi"/>
          <w:b w:val="0"/>
          <w:i w:val="0"/>
          <w:sz w:val="21"/>
        </w:rPr>
        <w:t>证明.</w:t>
      </w:r>
      <w:r>
        <w:rPr>
          <w:rFonts w:ascii="Times New Roman" w:hAnsi="Times New Roman" w:eastAsia="SimSun"/>
          <w:b w:val="0"/>
          <w:i w:val="0"/>
          <w:sz w:val="21"/>
        </w:rPr>
        <w:t xml:space="preserve">　由定理1 直接可得。</w:t>
      </w:r>
      <w:r>
        <w:rPr>
          <w:rFonts w:ascii="Times New Roman" w:hAnsi="Times New Roman" w:eastAsia="SimSun"/>
          <w:b w:val="0"/>
          <w:i w:val="0"/>
          <w:sz w:val="21"/>
        </w:rPr>
        <w:t xml:space="preserve">　□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sz w:val="24"/>
        </w:rPr>
        <w:t>4</w:t>
      </w:r>
      <w:r>
        <w:rPr>
          <w:rFonts w:ascii="Times New Roman" w:hAnsi="Times New Roman" w:eastAsia="SimHei"/>
          <w:b w:val="0"/>
          <w:i w:val="0"/>
          <w:sz w:val="24"/>
        </w:rPr>
        <w:t xml:space="preserve">　</w:t>
      </w:r>
      <w:r>
        <w:rPr>
          <w:rFonts w:ascii="Times New Roman" w:hAnsi="Times New Roman" w:eastAsia="SimHei"/>
          <w:b w:val="0"/>
          <w:i w:val="0"/>
          <w:sz w:val="24"/>
        </w:rPr>
        <w:t>图表示例</w:t>
      </w:r>
    </w:p>
    <w:p>
      <w:pPr>
        <w:spacing w:before="200" w:after="40" w:line="273" w:lineRule="exact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18"/>
        </w:rPr>
        <w:t>（此处插入图片：请单独成段插入 PNG/JPG，并另附 PDF/PPT 等矢量源文件）</w:t>
      </w:r>
    </w:p>
    <w:p>
      <w:pPr>
        <w:pStyle w:val="Caption"/>
      </w:pPr>
      <w:r>
        <w:rPr>
          <w:rFonts w:ascii="Times New Roman" w:hAnsi="Times New Roman" w:eastAsia="SimSun"/>
          <w:b w:val="0"/>
          <w:i w:val="0"/>
          <w:sz w:val="21"/>
        </w:rPr>
        <w:t>图1: 图题示例</w:t>
      </w:r>
    </w:p>
    <w:p>
      <w:pPr>
        <w:pStyle w:val="Caption"/>
        <w:keepNext/>
      </w:pPr>
      <w:r>
        <w:rPr>
          <w:rFonts w:ascii="Times New Roman" w:hAnsi="Times New Roman" w:eastAsia="SimSun"/>
          <w:b w:val="0"/>
          <w:i w:val="0"/>
          <w:sz w:val="21"/>
        </w:rPr>
        <w:t>表1: 表题示例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51"/>
        <w:gridCol w:w="3118"/>
      </w:tblGrid>
      <w:tr>
        <w:tc>
          <w:tcPr>
            <w:tcW w:type="dxa" w:w="2551"/>
            <w:tcBorders>
              <w:bottom w:val="single" w:sz="6" w:space="0" w:color="000000"/>
            </w:tcBorders>
          </w:tcPr>
          <w:p>
            <w:pPr>
              <w:spacing w:before="30" w:after="30" w:line="273" w:lineRule="exact"/>
              <w:ind w:firstLine="0"/>
              <w:jc w:val="center"/>
            </w:pPr>
            <w:r>
              <w:rPr>
                <w:rFonts w:ascii="Times New Roman" w:hAnsi="Times New Roman" w:eastAsia="SimHei"/>
                <w:b w:val="0"/>
                <w:i w:val="0"/>
                <w:sz w:val="21"/>
              </w:rPr>
              <w:t>项目</w:t>
            </w:r>
          </w:p>
        </w:tc>
        <w:tc>
          <w:tcPr>
            <w:tcW w:type="dxa" w:w="3118"/>
            <w:tcBorders>
              <w:bottom w:val="single" w:sz="6" w:space="0" w:color="000000"/>
            </w:tcBorders>
          </w:tcPr>
          <w:p>
            <w:pPr>
              <w:spacing w:before="30" w:after="30" w:line="273" w:lineRule="exact"/>
              <w:ind w:firstLine="0"/>
              <w:jc w:val="center"/>
            </w:pPr>
            <w:r>
              <w:rPr>
                <w:rFonts w:ascii="Times New Roman" w:hAnsi="Times New Roman" w:eastAsia="SimHei"/>
                <w:b w:val="0"/>
                <w:i w:val="0"/>
                <w:sz w:val="21"/>
              </w:rPr>
              <w:t>内容</w:t>
            </w:r>
          </w:p>
        </w:tc>
      </w:tr>
      <w:tr>
        <w:tc>
          <w:tcPr>
            <w:tcW w:type="dxa" w:w="2551"/>
          </w:tcPr>
          <w:p>
            <w:pPr>
              <w:spacing w:before="30" w:after="30" w:line="273" w:lineRule="exact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示例一</w:t>
            </w:r>
          </w:p>
        </w:tc>
        <w:tc>
          <w:tcPr>
            <w:tcW w:type="dxa" w:w="3118"/>
          </w:tcPr>
          <w:p>
            <w:pPr>
              <w:spacing w:before="30" w:after="30" w:line="273" w:lineRule="exact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……</w:t>
            </w:r>
          </w:p>
        </w:tc>
      </w:tr>
      <w:tr>
        <w:tc>
          <w:tcPr>
            <w:tcW w:type="dxa" w:w="2551"/>
          </w:tcPr>
          <w:p>
            <w:pPr>
              <w:spacing w:before="30" w:after="30" w:line="273" w:lineRule="exact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示例二</w:t>
            </w:r>
          </w:p>
        </w:tc>
        <w:tc>
          <w:tcPr>
            <w:tcW w:type="dxa" w:w="3118"/>
          </w:tcPr>
          <w:p>
            <w:pPr>
              <w:spacing w:before="30" w:after="30" w:line="273" w:lineRule="exact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……</w:t>
            </w:r>
          </w:p>
        </w:tc>
      </w:tr>
    </w:tbl>
    <w:p>
      <w:pPr>
        <w:spacing w:before="80" w:after="120" w:line="273" w:lineRule="exact"/>
        <w:ind w:firstLine="0"/>
      </w:pPr>
      <w:r>
        <w:rPr>
          <w:rFonts w:ascii="Times New Roman" w:hAnsi="Times New Roman" w:eastAsia="SimSun"/>
          <w:b w:val="0"/>
          <w:i w:val="0"/>
          <w:sz w:val="18"/>
        </w:rPr>
        <w:t>注：表格注释写在表格下方的正文段；不要把脚注插入表格单元格（转换时表格内脚注会被丢弃）。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sz w:val="24"/>
        </w:rPr>
        <w:t>5</w:t>
      </w:r>
      <w:r>
        <w:rPr>
          <w:rFonts w:ascii="Times New Roman" w:hAnsi="Times New Roman" w:eastAsia="SimHei"/>
          <w:b w:val="0"/>
          <w:i w:val="0"/>
          <w:sz w:val="24"/>
        </w:rPr>
        <w:t xml:space="preserve">　</w:t>
      </w:r>
      <w:r>
        <w:rPr>
          <w:rFonts w:ascii="Times New Roman" w:hAnsi="Times New Roman" w:eastAsia="SimHei"/>
          <w:b w:val="0"/>
          <w:i w:val="0"/>
          <w:sz w:val="24"/>
        </w:rPr>
        <w:t>语言与格式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sz w:val="21"/>
        </w:rPr>
        <w:t>5.1</w:t>
      </w:r>
      <w:r>
        <w:rPr>
          <w:rFonts w:ascii="Times New Roman" w:hAnsi="Times New Roman" w:eastAsia="SimHei"/>
          <w:b w:val="0"/>
          <w:i w:val="0"/>
          <w:sz w:val="21"/>
        </w:rPr>
        <w:t xml:space="preserve">　</w:t>
      </w:r>
      <w:r>
        <w:rPr>
          <w:rFonts w:ascii="Times New Roman" w:hAnsi="Times New Roman" w:eastAsia="SimHei"/>
          <w:b w:val="0"/>
          <w:i w:val="0"/>
          <w:sz w:val="21"/>
        </w:rPr>
        <w:t>标点、数字与连接号</w:t>
      </w:r>
    </w:p>
    <w:p>
      <w:pPr/>
      <w:r>
        <w:rPr>
          <w:rFonts w:ascii="Times New Roman" w:hAnsi="Times New Roman" w:eastAsia="SimSun"/>
          <w:b w:val="0"/>
          <w:i w:val="0"/>
          <w:sz w:val="21"/>
        </w:rPr>
        <w:t>中文正文使用全角标点（，。；：、“”），英文与数字使用半角并在其后留空格；年份写「2024 年」，日期写「2024-10-24」。连接号有三种，不可混用：短横「-」用于编号、日期与字母序号（表2-9、2022-10-08、A-级别）；双短横「–」用于页码范围（第8–12 页）；一字线「</w:t>
      </w:r>
      <w:r>
        <w:rPr>
          <w:rFonts w:ascii="SimSun" w:hAnsi="SimSun" w:eastAsia="SimSun" w:hint="eastAsia"/>
          <w:b w:val="0"/>
          <w:i w:val="0"/>
          <w:sz w:val="21"/>
        </w:rPr>
        <w:t>—</w:t>
      </w:r>
      <w:r>
        <w:rPr>
          <w:rFonts w:ascii="Times New Roman" w:hAnsi="Times New Roman" w:eastAsia="SimSun"/>
          <w:b w:val="0"/>
          <w:i w:val="0"/>
          <w:sz w:val="21"/>
        </w:rPr>
        <w:t>」用于区间（北京</w:t>
      </w:r>
      <w:r>
        <w:rPr>
          <w:rFonts w:ascii="SimSun" w:hAnsi="SimSun" w:eastAsia="SimSun" w:hint="eastAsia"/>
          <w:b w:val="0"/>
          <w:i w:val="0"/>
          <w:sz w:val="21"/>
        </w:rPr>
        <w:t>—</w:t>
      </w:r>
      <w:r>
        <w:rPr>
          <w:rFonts w:ascii="Times New Roman" w:hAnsi="Times New Roman" w:eastAsia="SimSun"/>
          <w:b w:val="0"/>
          <w:i w:val="0"/>
          <w:sz w:val="21"/>
        </w:rPr>
        <w:t>上海、秦岭</w:t>
      </w:r>
      <w:r>
        <w:rPr>
          <w:rFonts w:ascii="SimSun" w:hAnsi="SimSun" w:eastAsia="SimSun" w:hint="eastAsia"/>
          <w:b w:val="0"/>
          <w:i w:val="0"/>
          <w:sz w:val="21"/>
        </w:rPr>
        <w:t>—</w:t>
      </w:r>
      <w:r>
        <w:rPr>
          <w:rFonts w:ascii="Times New Roman" w:hAnsi="Times New Roman" w:eastAsia="SimSun"/>
          <w:b w:val="0"/>
          <w:i w:val="0"/>
          <w:sz w:val="21"/>
        </w:rPr>
        <w:t>淮河）。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sz w:val="21"/>
        </w:rPr>
        <w:t>5.2</w:t>
      </w:r>
      <w:r>
        <w:rPr>
          <w:rFonts w:ascii="Times New Roman" w:hAnsi="Times New Roman" w:eastAsia="SimHei"/>
          <w:b w:val="0"/>
          <w:i w:val="0"/>
          <w:sz w:val="21"/>
        </w:rPr>
        <w:t xml:space="preserve">　</w:t>
      </w:r>
      <w:r>
        <w:rPr>
          <w:rFonts w:ascii="Times New Roman" w:hAnsi="Times New Roman" w:eastAsia="SimHei"/>
          <w:b w:val="0"/>
          <w:i w:val="0"/>
          <w:sz w:val="21"/>
        </w:rPr>
        <w:t>英文规范</w:t>
      </w:r>
    </w:p>
    <w:p>
      <w:pPr/>
      <w:r>
        <w:rPr>
          <w:rFonts w:ascii="Times New Roman" w:hAnsi="Times New Roman" w:eastAsia="SimSun"/>
          <w:b w:val="0"/>
          <w:i w:val="0"/>
          <w:sz w:val="21"/>
        </w:rPr>
        <w:t>英文引文独立成段、不加引号；大章节标题每词首字母大写，小章节仅句首大写；et al. 与 p. 8–12 的间隔由排版自动缩小；英文破折号用一字线。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sz w:val="24"/>
        </w:rPr>
        <w:t>6</w:t>
      </w:r>
      <w:r>
        <w:rPr>
          <w:rFonts w:ascii="Times New Roman" w:hAnsi="Times New Roman" w:eastAsia="SimHei"/>
          <w:b w:val="0"/>
          <w:i w:val="0"/>
          <w:sz w:val="24"/>
        </w:rPr>
        <w:t xml:space="preserve">　</w:t>
      </w:r>
      <w:r>
        <w:rPr>
          <w:rFonts w:ascii="Times New Roman" w:hAnsi="Times New Roman" w:eastAsia="SimHei"/>
          <w:b w:val="0"/>
          <w:i w:val="0"/>
          <w:sz w:val="24"/>
        </w:rPr>
        <w:t>长引文与脚注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sz w:val="21"/>
        </w:rPr>
        <w:t>6.1</w:t>
      </w:r>
      <w:r>
        <w:rPr>
          <w:rFonts w:ascii="Times New Roman" w:hAnsi="Times New Roman" w:eastAsia="SimHei"/>
          <w:b w:val="0"/>
          <w:i w:val="0"/>
          <w:sz w:val="21"/>
        </w:rPr>
        <w:t xml:space="preserve">　</w:t>
      </w:r>
      <w:r>
        <w:rPr>
          <w:rFonts w:ascii="Times New Roman" w:hAnsi="Times New Roman" w:eastAsia="SimHei"/>
          <w:b w:val="0"/>
          <w:i w:val="0"/>
          <w:sz w:val="21"/>
        </w:rPr>
        <w:t>长引文</w:t>
      </w:r>
    </w:p>
    <w:p>
      <w:pPr>
        <w:spacing w:before="120" w:after="120" w:line="302" w:lineRule="exact"/>
        <w:ind w:leftChars="200" w:left="420" w:rightChars="200" w:right="420" w:firstLineChars="200" w:firstLine="420"/>
      </w:pPr>
      <w:r>
        <w:rPr>
          <w:rFonts w:ascii="Times New Roman" w:hAnsi="Times New Roman" w:eastAsia="KaiTi"/>
          <w:b w:val="0"/>
          <w:i w:val="0"/>
          <w:sz w:val="21"/>
        </w:rPr>
        <w:t>长引文独立成段、不加引号，与正文之间留出适当间距；中文与英文引文均按此处理，与 LaTeX 模板的 quotation 环境一致。转换时引擎会按引文长度自动识别，因此长引文请单独成段，不要在引文段落中混排脚注。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sz w:val="21"/>
        </w:rPr>
        <w:t>6.2</w:t>
      </w:r>
      <w:r>
        <w:rPr>
          <w:rFonts w:ascii="Times New Roman" w:hAnsi="Times New Roman" w:eastAsia="SimHei"/>
          <w:b w:val="0"/>
          <w:i w:val="0"/>
          <w:sz w:val="21"/>
        </w:rPr>
        <w:t xml:space="preserve">　</w:t>
      </w:r>
      <w:r>
        <w:rPr>
          <w:rFonts w:ascii="Times New Roman" w:hAnsi="Times New Roman" w:eastAsia="SimHei"/>
          <w:b w:val="0"/>
          <w:i w:val="0"/>
          <w:sz w:val="21"/>
        </w:rPr>
        <w:t>脚注</w:t>
      </w:r>
    </w:p>
    <w:p>
      <w:pPr/>
      <w:r>
        <w:rPr>
          <w:rFonts w:ascii="Times New Roman" w:hAnsi="Times New Roman" w:eastAsia="SimSun"/>
          <w:b w:val="0"/>
          <w:i w:val="0"/>
          <w:sz w:val="21"/>
        </w:rPr>
        <w:t>脚注标记放在逗号前、句号后，脚注内容以句号结尾；一句话有两处脚注且各对应一部分时，都放在标点前面。表格中的脚注在转换时会被丢弃，表格注释请写在表格下方的正文段（如「注：……」），不要插入表格单元格。</w:t>
      </w:r>
    </w:p>
    <w:p>
      <w:pPr/>
      <w:r>
        <w:rPr>
          <w:rFonts w:ascii="Times New Roman" w:hAnsi="Times New Roman" w:eastAsia="SimSun"/>
          <w:b w:val="0"/>
          <w:i w:val="0"/>
          <w:sz w:val="21"/>
        </w:rPr>
        <w:t>张三说上海下雪了</w:t>
      </w:r>
      <w:r>
        <w:rPr>
          <w:rStyle w:val="FootnoteReference"/>
        </w:rPr>
        <w:footnoteReference w:id="3"/>
      </w:r>
      <w:r>
        <w:rPr>
          <w:rFonts w:ascii="Times New Roman" w:hAnsi="Times New Roman" w:eastAsia="SimSun"/>
          <w:b w:val="0"/>
          <w:i w:val="0"/>
          <w:sz w:val="21"/>
        </w:rPr>
        <w:t>，而李四说面包真好吃</w:t>
      </w:r>
      <w:r>
        <w:rPr>
          <w:rStyle w:val="FootnoteReference"/>
        </w:rPr>
        <w:footnoteReference w:id="4"/>
      </w:r>
      <w:r>
        <w:rPr>
          <w:rFonts w:ascii="Times New Roman" w:hAnsi="Times New Roman" w:eastAsia="SimSun"/>
          <w:b w:val="0"/>
          <w:i w:val="0"/>
          <w:sz w:val="21"/>
        </w:rPr>
        <w:t>。</w:t>
      </w:r>
    </w:p>
    <w:p>
      <w:pPr>
        <w:keepNext/>
        <w:spacing w:before="340" w:after="210" w:line="312" w:lineRule="exact"/>
        <w:ind w:firstLine="0"/>
        <w:jc w:val="left"/>
      </w:pPr>
      <w:r>
        <w:rPr>
          <w:rFonts w:ascii="Times New Roman" w:hAnsi="Times New Roman" w:eastAsia="SimHei"/>
          <w:b w:val="0"/>
          <w:i w:val="0"/>
          <w:sz w:val="24"/>
        </w:rPr>
        <w:t>参考文献</w:t>
      </w:r>
    </w:p>
    <w:p>
      <w:pPr>
        <w:spacing w:before="0" w:after="45" w:line="281" w:lineRule="exact"/>
        <w:ind w:left="408" w:leftChars="0" w:hanging="408"/>
        <w:jc w:val="left"/>
      </w:pPr>
      <w:r>
        <w:rPr>
          <w:rFonts w:ascii="Times New Roman" w:hAnsi="Times New Roman" w:eastAsia="SimSun"/>
          <w:b w:val="0"/>
          <w:i w:val="0"/>
          <w:sz w:val="18"/>
        </w:rPr>
        <w:t>[1] 常思礼，“试释《文心雕龙》中的‘诡’”，中北大学学报（社会科学版），2023 年第3 期，第24–31 页。</w:t>
      </w:r>
    </w:p>
    <w:p>
      <w:pPr>
        <w:spacing w:before="0" w:after="45" w:line="281" w:lineRule="exact"/>
        <w:ind w:left="408" w:leftChars="0" w:hanging="408"/>
        <w:jc w:val="left"/>
      </w:pPr>
      <w:r>
        <w:rPr>
          <w:rFonts w:ascii="Times New Roman" w:hAnsi="Times New Roman" w:eastAsia="SimSun"/>
          <w:b w:val="0"/>
          <w:i w:val="0"/>
          <w:sz w:val="18"/>
        </w:rPr>
        <w:t>[2] 汪奠基，中国逻辑思想史，武汉：武汉大学出版社，2012 年。</w:t>
      </w:r>
    </w:p>
    <w:p>
      <w:pPr>
        <w:spacing w:before="0" w:after="45" w:line="281" w:lineRule="exact"/>
        <w:ind w:left="408" w:leftChars="0" w:hanging="408"/>
        <w:jc w:val="left"/>
      </w:pPr>
      <w:r>
        <w:rPr>
          <w:rFonts w:ascii="Times New Roman" w:hAnsi="Times New Roman" w:eastAsia="SimSun"/>
          <w:b w:val="0"/>
          <w:i w:val="0"/>
          <w:sz w:val="18"/>
        </w:rPr>
        <w:t>[3] 弗雷格（著），王路（译），算术基础，北京：商务印书馆，1998 年。</w:t>
      </w:r>
    </w:p>
    <w:p>
      <w:pPr>
        <w:spacing w:before="0" w:after="45" w:line="281" w:lineRule="exact"/>
        <w:ind w:left="408" w:leftChars="0" w:hanging="408"/>
        <w:jc w:val="left"/>
      </w:pPr>
      <w:r>
        <w:rPr>
          <w:rFonts w:ascii="Times New Roman" w:hAnsi="Times New Roman" w:eastAsia="SimSun"/>
          <w:b w:val="0"/>
          <w:i w:val="0"/>
          <w:sz w:val="18"/>
        </w:rPr>
        <w:t>[4] 吴梅红，基于动态认知逻辑的多主体系统知识推理研究，博士论文，厦门大学，2009 年。</w:t>
      </w:r>
    </w:p>
    <w:p>
      <w:pPr>
        <w:spacing w:before="0" w:after="45" w:line="281" w:lineRule="exact"/>
        <w:ind w:left="408" w:leftChars="0" w:hanging="408"/>
        <w:jc w:val="left"/>
      </w:pPr>
      <w:r>
        <w:rPr>
          <w:rFonts w:ascii="Times New Roman" w:hAnsi="Times New Roman" w:eastAsia="SimSun"/>
          <w:b w:val="0"/>
          <w:i w:val="0"/>
          <w:sz w:val="18"/>
        </w:rPr>
        <w:t xml:space="preserve">[5] P. Benacerraf, 1981, “Frege: The last logicist”, </w:t>
      </w:r>
      <w:r>
        <w:rPr>
          <w:rFonts w:ascii="Times New Roman" w:hAnsi="Times New Roman" w:eastAsia="SimSun"/>
          <w:b w:val="0"/>
          <w:i/>
          <w:sz w:val="18"/>
        </w:rPr>
        <w:t>Midwest Studies in Philosophy</w:t>
      </w:r>
      <w:r>
        <w:rPr>
          <w:rFonts w:ascii="Times New Roman" w:hAnsi="Times New Roman" w:eastAsia="SimSun"/>
          <w:b w:val="0"/>
          <w:i w:val="0"/>
          <w:sz w:val="18"/>
        </w:rPr>
        <w:t>, 6(1): 17–35.</w:t>
      </w:r>
    </w:p>
    <w:p>
      <w:pPr>
        <w:spacing w:before="0" w:after="45" w:line="281" w:lineRule="exact"/>
        <w:ind w:left="408" w:leftChars="0" w:hanging="408"/>
        <w:jc w:val="left"/>
      </w:pPr>
      <w:r>
        <w:rPr>
          <w:rFonts w:ascii="Times New Roman" w:hAnsi="Times New Roman" w:eastAsia="SimSun"/>
          <w:b w:val="0"/>
          <w:i w:val="0"/>
          <w:sz w:val="18"/>
        </w:rPr>
        <w:t xml:space="preserve">[6] K. Gödel, 1995, “Some basic theorems on the foundations of mathematics and their implications”, in S. Feferman et al. (eds.), </w:t>
      </w:r>
      <w:r>
        <w:rPr>
          <w:rFonts w:ascii="Times New Roman" w:hAnsi="Times New Roman" w:eastAsia="SimSun"/>
          <w:b w:val="0"/>
          <w:i/>
          <w:sz w:val="18"/>
        </w:rPr>
        <w:t>Kurt Gödel Collected Works, Volume III: Unpublished Essays and Lectures</w:t>
      </w:r>
      <w:r>
        <w:rPr>
          <w:rFonts w:ascii="Times New Roman" w:hAnsi="Times New Roman" w:eastAsia="SimSun"/>
          <w:b w:val="0"/>
          <w:i w:val="0"/>
          <w:sz w:val="18"/>
        </w:rPr>
        <w:t>, pp. 304–323, Oxford: Oxford University Press.</w:t>
      </w:r>
    </w:p>
    <w:p>
      <w:pPr>
        <w:spacing w:before="0" w:after="45" w:line="281" w:lineRule="exact"/>
        <w:ind w:left="408" w:leftChars="0" w:hanging="408"/>
        <w:jc w:val="left"/>
      </w:pPr>
      <w:r>
        <w:rPr>
          <w:rFonts w:ascii="Times New Roman" w:hAnsi="Times New Roman" w:eastAsia="SimSun"/>
          <w:b w:val="0"/>
          <w:i w:val="0"/>
          <w:sz w:val="18"/>
        </w:rPr>
        <w:t xml:space="preserve">[7] J. Bennett, 1988, </w:t>
      </w:r>
      <w:r>
        <w:rPr>
          <w:rFonts w:ascii="Times New Roman" w:hAnsi="Times New Roman" w:eastAsia="SimSun"/>
          <w:b w:val="0"/>
          <w:i/>
          <w:sz w:val="18"/>
        </w:rPr>
        <w:t>Events and Their Names</w:t>
      </w:r>
      <w:r>
        <w:rPr>
          <w:rFonts w:ascii="Times New Roman" w:hAnsi="Times New Roman" w:eastAsia="SimSun"/>
          <w:b w:val="0"/>
          <w:i w:val="0"/>
          <w:sz w:val="18"/>
        </w:rPr>
        <w:t>, Oxford: Oxford University Press.</w:t>
      </w:r>
    </w:p>
    <w:p>
      <w:pPr>
        <w:spacing w:before="0" w:after="45" w:line="281" w:lineRule="exact"/>
        <w:ind w:left="408" w:leftChars="0" w:hanging="408"/>
        <w:jc w:val="left"/>
      </w:pPr>
      <w:r>
        <w:rPr>
          <w:rFonts w:ascii="Times New Roman" w:hAnsi="Times New Roman" w:eastAsia="SimSun"/>
          <w:b w:val="0"/>
          <w:i w:val="0"/>
          <w:sz w:val="18"/>
        </w:rPr>
        <w:t xml:space="preserve">[8] P. Bartha, 2019, “Analogy and analogical reasoning”, in E. N. Zalta (ed.), </w:t>
      </w:r>
      <w:r>
        <w:rPr>
          <w:rFonts w:ascii="Times New Roman" w:hAnsi="Times New Roman" w:eastAsia="SimSun"/>
          <w:b w:val="0"/>
          <w:i/>
          <w:sz w:val="18"/>
        </w:rPr>
        <w:t>The Stanford Encyclopedia of Philosophy</w:t>
      </w:r>
      <w:r>
        <w:rPr>
          <w:rFonts w:ascii="Times New Roman" w:hAnsi="Times New Roman" w:eastAsia="SimSun"/>
          <w:b w:val="0"/>
          <w:i w:val="0"/>
          <w:sz w:val="18"/>
        </w:rPr>
        <w:t xml:space="preserve"> (Spring 2019 Edition), https://plato.stanford.edu/archives/spr2019/entries/reasoning-analogy/.</w:t>
      </w:r>
    </w:p>
    <w:p>
      <w:r>
        <w:br w:type="page"/>
      </w:r>
    </w:p>
    <w:p>
      <w:pPr>
        <w:spacing w:before="0" w:after="0" w:line="296" w:lineRule="exact"/>
        <w:ind w:firstLine="0"/>
      </w:pPr>
    </w:p>
    <w:p>
      <w:pPr>
        <w:spacing w:before="0" w:after="0" w:line="436" w:lineRule="exact"/>
        <w:ind w:firstLine="0"/>
        <w:jc w:val="center"/>
      </w:pPr>
      <w:r>
        <w:rPr>
          <w:rFonts w:ascii="Times New Roman" w:hAnsi="Times New Roman" w:eastAsia="SimSun"/>
          <w:b/>
          <w:i w:val="0"/>
          <w:sz w:val="30"/>
        </w:rPr>
        <w:t>English Title</w:t>
      </w:r>
    </w:p>
    <w:p>
      <w:pPr>
        <w:spacing w:before="507" w:after="0" w:line="302" w:lineRule="exact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First Author　Second Author　Third Author</w:t>
      </w:r>
      <w:r>
        <w:rPr>
          <w:rStyle w:val="FootnoteReference"/>
        </w:rPr>
        <w:footnoteReference w:id="5"/>
      </w:r>
    </w:p>
    <w:p>
      <w:pPr>
        <w:spacing w:before="204" w:after="109" w:line="302" w:lineRule="exact"/>
        <w:ind w:firstLine="0"/>
        <w:jc w:val="center"/>
      </w:pPr>
      <w:r>
        <w:rPr>
          <w:rFonts w:ascii="Times New Roman" w:hAnsi="Times New Roman" w:eastAsia="SimSun"/>
          <w:b/>
          <w:i w:val="0"/>
          <w:sz w:val="24"/>
        </w:rPr>
        <w:t>Abstract</w:t>
      </w:r>
    </w:p>
    <w:p>
      <w:pPr>
        <w:spacing w:before="0" w:after="0" w:line="328" w:lineRule="exact"/>
        <w:ind w:firstLine="420" w:firstLineChars="200"/>
        <w:jc w:val="both"/>
      </w:pPr>
      <w:r>
        <w:rPr>
          <w:rFonts w:ascii="Times New Roman" w:hAnsi="Times New Roman" w:eastAsia="SimSun"/>
          <w:b w:val="0"/>
          <w:i w:val="0"/>
          <w:sz w:val="21"/>
        </w:rPr>
        <w:t>Abstract text in English. Please insert the English abstract of the paper here.</w:t>
      </w:r>
    </w:p>
    <w:sectPr w:rsidR="00FC693F" w:rsidRPr="0006063C" w:rsidSect="00034616">
      <w:footerReference w:type="default" r:id="rId9"/>
      <w:pgSz w:w="9978" w:h="14173"/>
      <w:pgMar w:top="1604" w:right="1054" w:bottom="1060" w:left="1553" w:header="975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  <w:rPr>
        <w:rFonts w:ascii="Times New Roman" w:hAnsi="Times New Roman" w:eastAsia="SimSun"/>
        <w:sz w:val="18"/>
      </w:rPr>
    </w:pPr>
    <w:fldSimple w:instr=" PAGE ">
      <w:r>
        <w:rPr>
          <w:rFonts w:ascii="Times New Roman" w:hAnsi="Times New Roman" w:eastAsia="SimSun"/>
          <w:sz w:val="18"/>
          <w:szCs w:val="18"/>
        </w:rP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1">
    <w:p>
      <w:pPr>
        <w:pStyle w:val="FootnoteText"/>
        <w:spacing w:before="0" w:after="0" w:line="234" w:lineRule="exact"/>
        <w:ind w:left="300" w:leftChars="0"/>
      </w:pPr>
      <w:r>
        <w:rPr>
          <w:rStyle w:val="FootnoteReference"/>
        </w:rPr>
        <w:footnoteRef/>
      </w:r>
      <w:r>
        <w:rPr>
          <w:rFonts w:ascii="Times New Roman" w:hAnsi="Times New Roman" w:eastAsia="SimHei"/>
          <w:sz w:val="15"/>
          <w:szCs w:val="15"/>
        </w:rPr>
        <w:t xml:space="preserve">作者信息：</w:t>
      </w:r>
    </w:p>
    <w:p>
      <w:pPr>
        <w:pStyle w:val="FootnoteText"/>
        <w:spacing w:before="0" w:after="0" w:line="234" w:lineRule="exact"/>
        <w:ind w:left="300" w:leftChars="0"/>
      </w:pPr>
      <w:r>
        <w:rPr>
          <w:rFonts w:ascii="Times New Roman" w:hAnsi="Times New Roman" w:eastAsia="SimSun"/>
          <w:sz w:val="15"/>
          <w:szCs w:val="15"/>
        </w:rPr>
        <w:t xml:space="preserve">张三，中山大学哲学系，E-mail：zhangsan@example.edu.cn。</w:t>
      </w:r>
    </w:p>
    <w:p>
      <w:pPr>
        <w:pStyle w:val="FootnoteText"/>
        <w:spacing w:before="0" w:after="0" w:line="234" w:lineRule="exact"/>
        <w:ind w:left="300" w:leftChars="0"/>
      </w:pPr>
      <w:r>
        <w:rPr>
          <w:rFonts w:ascii="Times New Roman" w:hAnsi="Times New Roman" w:eastAsia="SimSun"/>
          <w:sz w:val="15"/>
          <w:szCs w:val="15"/>
        </w:rPr>
        <w:t xml:space="preserve">李四，北京大学哲学系，E-mail：lisi@example.edu.cn。</w:t>
      </w:r>
    </w:p>
    <w:p>
      <w:pPr>
        <w:pStyle w:val="FootnoteText"/>
        <w:spacing w:before="0" w:after="0" w:line="234" w:lineRule="exact"/>
        <w:ind w:left="300" w:leftChars="0"/>
      </w:pPr>
      <w:r>
        <w:rPr>
          <w:rFonts w:ascii="Times New Roman" w:hAnsi="Times New Roman" w:eastAsia="SimSun"/>
          <w:sz w:val="15"/>
          <w:szCs w:val="15"/>
        </w:rPr>
        <w:t xml:space="preserve">王五，复旦大学哲学学院，E-mail：wangwu@example.edu.cn。</w:t>
      </w:r>
    </w:p>
    <w:p>
      <w:pPr>
        <w:pStyle w:val="FootnoteText"/>
        <w:spacing w:before="0" w:after="0" w:line="234" w:lineRule="exact"/>
        <w:ind w:left="300" w:leftChars="0"/>
      </w:pPr>
      <w:r>
        <w:rPr>
          <w:rFonts w:ascii="Times New Roman" w:hAnsi="Times New Roman" w:eastAsia="SimHei"/>
          <w:sz w:val="15"/>
          <w:szCs w:val="15"/>
        </w:rPr>
        <w:t xml:space="preserve">基金项目：</w:t>
      </w:r>
      <w:r>
        <w:rPr>
          <w:rFonts w:ascii="Times New Roman" w:hAnsi="Times New Roman" w:eastAsia="SimSun"/>
          <w:sz w:val="15"/>
          <w:szCs w:val="15"/>
        </w:rPr>
        <w:t xml:space="preserve">国家社会科学基金项目（编号：XXXXXXXX）。</w:t>
      </w:r>
    </w:p>
    <w:p>
      <w:pPr>
        <w:pStyle w:val="FootnoteText"/>
        <w:spacing w:before="0" w:after="0" w:line="234" w:lineRule="exact"/>
        <w:ind w:left="300" w:leftChars="0"/>
      </w:pPr>
      <w:r>
        <w:rPr>
          <w:rFonts w:ascii="Times New Roman" w:hAnsi="Times New Roman" w:eastAsia="SimHei"/>
          <w:sz w:val="15"/>
          <w:szCs w:val="15"/>
        </w:rPr>
        <w:t xml:space="preserve">致　　谢：</w:t>
      </w:r>
      <w:r>
        <w:rPr>
          <w:rFonts w:ascii="Times New Roman" w:hAnsi="Times New Roman" w:eastAsia="SimSun"/>
          <w:sz w:val="15"/>
          <w:szCs w:val="15"/>
        </w:rPr>
        <w:t xml:space="preserve">感谢……。</w:t>
      </w:r>
    </w:p>
  </w:footnote>
  <w:footnote w:id="2">
    <w:p>
      <w:pPr>
        <w:pStyle w:val="FootnoteText"/>
        <w:spacing w:before="0" w:after="0" w:line="234" w:lineRule="exact"/>
        <w:ind w:left="300" w:leftChars="0"/>
      </w:pPr>
      <w:r>
        <w:rPr>
          <w:rStyle w:val="FootnoteReference"/>
        </w:rPr>
        <w:footnoteRef/>
      </w:r>
      <w:r>
        <w:rPr>
          <w:rFonts w:ascii="Times New Roman" w:hAnsi="Times New Roman" w:eastAsia="SimHei"/>
          <w:sz w:val="15"/>
          <w:szCs w:val="15"/>
        </w:rPr>
        <w:t xml:space="preserve">脚注示例：</w:t>
      </w:r>
      <w:r>
        <w:rPr>
          <w:rFonts w:ascii="Times New Roman" w:hAnsi="Times New Roman" w:eastAsia="SimSun"/>
          <w:sz w:val="15"/>
          <w:szCs w:val="15"/>
        </w:rPr>
        <w:t xml:space="preserve">说明性脚注排在页面底部，六号宋体，缩进 2 个字符。</w:t>
      </w:r>
    </w:p>
  </w:footnote>
  <w:footnote w:id="3">
    <w:p>
      <w:pPr>
        <w:pStyle w:val="FootnoteText"/>
        <w:spacing w:before="0" w:after="0" w:line="234" w:lineRule="exact"/>
        <w:ind w:left="300" w:leftChars="0"/>
      </w:pPr>
      <w:r>
        <w:rPr>
          <w:rStyle w:val="FootnoteReference"/>
        </w:rPr>
        <w:footnoteRef/>
      </w:r>
      <w:r>
        <w:rPr>
          <w:rFonts w:ascii="Times New Roman" w:hAnsi="Times New Roman" w:eastAsia="SimSun"/>
          <w:sz w:val="15"/>
          <w:szCs w:val="15"/>
        </w:rPr>
        <w:t xml:space="preserve">这是一个脚注。</w:t>
      </w:r>
    </w:p>
  </w:footnote>
  <w:footnote w:id="4">
    <w:p>
      <w:pPr>
        <w:pStyle w:val="FootnoteText"/>
        <w:spacing w:before="0" w:after="0" w:line="234" w:lineRule="exact"/>
        <w:ind w:left="300" w:leftChars="0"/>
      </w:pPr>
      <w:r>
        <w:rPr>
          <w:rStyle w:val="FootnoteReference"/>
        </w:rPr>
        <w:footnoteRef/>
      </w:r>
      <w:r>
        <w:rPr>
          <w:rFonts w:ascii="Times New Roman" w:hAnsi="Times New Roman" w:eastAsia="SimSun"/>
          <w:sz w:val="15"/>
          <w:szCs w:val="15"/>
        </w:rPr>
        <w:t xml:space="preserve">这也是一个脚注。</w:t>
      </w:r>
    </w:p>
  </w:footnote>
  <w:footnote w:id="5">
    <w:p>
      <w:pPr>
        <w:pStyle w:val="FootnoteText"/>
        <w:spacing w:before="0" w:after="0" w:line="234" w:lineRule="exact"/>
        <w:ind w:left="300" w:leftChars="0"/>
      </w:pPr>
      <w:r>
        <w:rPr>
          <w:rStyle w:val="FootnoteReference"/>
        </w:rPr>
        <w:footnoteRef/>
      </w:r>
      <w:r>
        <w:rPr>
          <w:rFonts w:ascii="Times New Roman" w:hAnsi="Times New Roman" w:eastAsia="Times New Roman"/>
          <w:sz w:val="15"/>
          <w:szCs w:val="15"/>
        </w:rPr>
        <w:t xml:space="preserve">First Author</w:t>
      </w:r>
      <w:r>
        <w:rPr>
          <w:rFonts w:ascii="Times New Roman" w:hAnsi="Times New Roman" w:eastAsia="Times New Roman"/>
          <w:sz w:val="15"/>
          <w:szCs w:val="15"/>
        </w:rPr>
        <w:t xml:space="preserve">　Department of Philosophy, Example University; E-mail: first@example.edu</w:t>
      </w:r>
    </w:p>
    <w:p>
      <w:pPr>
        <w:pStyle w:val="FootnoteText"/>
        <w:spacing w:before="0" w:after="0" w:line="234" w:lineRule="exact"/>
        <w:ind w:left="300" w:leftChars="0"/>
      </w:pPr>
      <w:r>
        <w:rPr>
          <w:rFonts w:ascii="Times New Roman" w:hAnsi="Times New Roman" w:eastAsia="Times New Roman"/>
          <w:sz w:val="15"/>
          <w:szCs w:val="15"/>
        </w:rPr>
        <w:t xml:space="preserve">Second Author</w:t>
      </w:r>
      <w:r>
        <w:rPr>
          <w:rFonts w:ascii="Times New Roman" w:hAnsi="Times New Roman" w:eastAsia="Times New Roman"/>
          <w:sz w:val="15"/>
          <w:szCs w:val="15"/>
        </w:rPr>
        <w:t xml:space="preserve">　Department of Philosophy, Example University; E-mail: second@example.edu</w:t>
      </w:r>
    </w:p>
    <w:p>
      <w:pPr>
        <w:pStyle w:val="FootnoteText"/>
        <w:spacing w:before="0" w:after="0" w:line="234" w:lineRule="exact"/>
        <w:ind w:left="300" w:leftChars="0"/>
      </w:pPr>
      <w:r>
        <w:rPr>
          <w:rFonts w:ascii="Times New Roman" w:hAnsi="Times New Roman" w:eastAsia="Times New Roman"/>
          <w:sz w:val="15"/>
          <w:szCs w:val="15"/>
        </w:rPr>
        <w:t xml:space="preserve">Third Author</w:t>
      </w:r>
      <w:r>
        <w:rPr>
          <w:rFonts w:ascii="Times New Roman" w:hAnsi="Times New Roman" w:eastAsia="Times New Roman"/>
          <w:sz w:val="15"/>
          <w:szCs w:val="15"/>
        </w:rPr>
        <w:t xml:space="preserve">　School of Philosophy, Example University; E-mail: third@example.edu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mirrorMargi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28" w:lineRule="atLeast"/>
      <w:ind w:firstLine="420"/>
      <w:jc w:val="both"/>
      <w:overflowPunct w:val="0"/>
    </w:pPr>
    <w:rPr>
      <w:rFonts w:ascii="Times New Roman" w:hAnsi="Times New Roman" w:cs="Times New Roman" w:eastAsia="SimSun"/>
      <w:b w:val="0"/>
      <w:sz w:val="21"/>
      <w:lang w:val="en-US" w:eastAsia="zh-CN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SimSun"/>
      <w:b w:val="0"/>
      <w:sz w:val="18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76" w:after="218" w:line="312" w:lineRule="exact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SimHei"/>
      <w:b w:val="0"/>
      <w:bCs/>
      <w:color w:val="000000"/>
      <w:sz w:val="24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328" w:lineRule="exact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SimHei"/>
      <w:b w:val="0"/>
      <w:bCs/>
      <w:color w:val="000000"/>
      <w:sz w:val="21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468" w:lineRule="exact" w:before="522"/>
      <w:ind w:firstLine="0"/>
      <w:jc w:val="center"/>
    </w:pPr>
    <w:rPr>
      <w:rFonts w:asciiTheme="majorHAnsi" w:eastAsiaTheme="majorEastAsia" w:hAnsiTheme="majorHAnsi" w:cstheme="majorBidi" w:ascii="Times New Roman" w:hAnsi="Times New Roman" w:cs="Times New Roman" w:eastAsia="SimSun"/>
      <w:b w:val="0"/>
      <w:color w:val="000000"/>
      <w:spacing w:val="5"/>
      <w:kern w:val="28"/>
      <w:sz w:val="36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3" w:lineRule="exact" w:before="120" w:after="120"/>
      <w:ind w:firstLine="0"/>
      <w:jc w:val="center"/>
    </w:pPr>
    <w:rPr>
      <w:rFonts w:ascii="Times New Roman" w:hAnsi="Times New Roman" w:cs="Times New Roman" w:eastAsia="SimSun"/>
      <w:b w:val="0"/>
      <w:bCs/>
      <w:i w:val="0"/>
      <w:color w:val="000000"/>
      <w:sz w:val="21"/>
      <w:szCs w:val="18"/>
      <w:lang w:val="en-US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otnoteText">
    <w:name w:val="Footnote Text"/>
    <w:basedOn w:val="Normal"/>
    <w:pPr>
      <w:spacing w:before="0" w:after="0" w:line="234" w:lineRule="exact"/>
      <w:ind w:firstLine="0"/>
      <w:jc w:val="both"/>
    </w:pPr>
    <w:rPr>
      <w:rFonts w:ascii="Times New Roman" w:hAnsi="Times New Roman" w:cs="Times New Roman" w:eastAsia="SimSun"/>
      <w:b w:val="0"/>
      <w:sz w:val="15"/>
      <w:lang w:val="en-US" w:eastAsia="zh-CN"/>
    </w:rPr>
  </w:style>
  <w:style w:type="character" w:customStyle="1" w:styleId="FootnoteReference">
    <w:name w:val="Footnote Reference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《逻辑学研究》作者投稿模板（中文版）</dc:title>
  <dc:subject>作者投稿模板</dc:subject>
  <dc:creator>《逻辑学研究》编辑部</dc:creator>
  <cp:keywords/>
  <dc:description>占位示例；不含真实作者/稿件内容。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