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5"/>
        </w:rPr>
        <w:t>Insert Your Title Here</w:t>
      </w:r>
    </w:p>
    <w:p>
      <w:pPr>
        <w:spacing w:before="292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4"/>
        </w:rPr>
        <w:t>San Zhang, Si Li, Wu Wang</w:t>
      </w:r>
      <w:r>
        <w:rPr>
          <w:rStyle w:val="FootnoteReference"/>
        </w:rPr>
        <w:footnoteReference w:id="1"/>
      </w:r>
    </w:p>
    <w:p>
      <w:pPr>
        <w:spacing w:before="167" w:after="0" w:line="227" w:lineRule="exact"/>
        <w:ind w:firstLine="0" w:left="284" w:leftChars="0" w:right="284"/>
        <w:jc w:val="left"/>
      </w:pPr>
      <w:r>
        <w:rPr>
          <w:rFonts w:ascii="Times New Roman" w:hAnsi="Times New Roman" w:eastAsia="SimSun"/>
          <w:b/>
          <w:i w:val="0"/>
          <w:sz w:val="18"/>
        </w:rPr>
        <w:t>Abstract.</w:t>
      </w:r>
      <w:r>
        <w:rPr>
          <w:rFonts w:ascii="Times New Roman" w:hAnsi="Times New Roman" w:eastAsia="SimSun"/>
          <w:b w:val="0"/>
          <w:i w:val="0"/>
          <w:sz w:val="18"/>
        </w:rPr>
        <w:t xml:space="preserve">　</w:t>
      </w:r>
      <w:r>
        <w:rPr>
          <w:rFonts w:ascii="Times New Roman" w:hAnsi="Times New Roman" w:eastAsia="SimSun"/>
          <w:b w:val="0"/>
          <w:i w:val="0"/>
          <w:sz w:val="18"/>
        </w:rPr>
        <w:t>Insert the English abstract here (about 150–250 words).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1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Introduction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This is the first paragraph of the body text. Please insert your paper here.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 xml:space="preserve">Citations are normally given in parentheses in the running text: one item </w:t>
      </w:r>
      <w:r>
        <w:rPr>
          <w:rFonts w:ascii="Times New Roman" w:hAnsi="Times New Roman" w:eastAsia="SimSun"/>
          <w:b w:val="0"/>
          <w:i w:val="0"/>
          <w:sz w:val="22"/>
        </w:rPr>
        <w:t>([1])</w:t>
      </w:r>
      <w:r>
        <w:rPr>
          <w:rFonts w:ascii="Times New Roman" w:hAnsi="Times New Roman" w:eastAsia="SimSun"/>
          <w:b w:val="0"/>
          <w:i w:val="0"/>
          <w:sz w:val="22"/>
        </w:rPr>
        <w:t xml:space="preserve">; a book with a page number </w:t>
      </w:r>
      <w:r>
        <w:rPr>
          <w:rFonts w:ascii="Times New Roman" w:hAnsi="Times New Roman" w:eastAsia="SimSun"/>
          <w:b w:val="0"/>
          <w:i w:val="0"/>
          <w:sz w:val="22"/>
        </w:rPr>
        <w:t>([2], p. 45)</w:t>
      </w:r>
      <w:r>
        <w:rPr>
          <w:rFonts w:ascii="Times New Roman" w:hAnsi="Times New Roman" w:eastAsia="SimSun"/>
          <w:b w:val="0"/>
          <w:i w:val="0"/>
          <w:sz w:val="22"/>
        </w:rPr>
        <w:t xml:space="preserve">; several items at once, in ascending order </w:t>
      </w:r>
      <w:r>
        <w:rPr>
          <w:rFonts w:ascii="Times New Roman" w:hAnsi="Times New Roman" w:eastAsia="SimSun"/>
          <w:b w:val="0"/>
          <w:i w:val="0"/>
          <w:sz w:val="22"/>
        </w:rPr>
        <w:t>([1, 6, 7])</w:t>
      </w:r>
      <w:r>
        <w:rPr>
          <w:rFonts w:ascii="Times New Roman" w:hAnsi="Times New Roman" w:eastAsia="SimSun"/>
          <w:b w:val="0"/>
          <w:i w:val="0"/>
          <w:sz w:val="22"/>
        </w:rPr>
        <w:t xml:space="preserve">; with a lead-in (see, cf.) the number takes no parentheses: </w:t>
      </w:r>
      <w:r>
        <w:rPr>
          <w:rFonts w:ascii="Times New Roman" w:hAnsi="Times New Roman" w:eastAsia="SimSun"/>
          <w:b w:val="0"/>
          <w:i w:val="0"/>
          <w:sz w:val="22"/>
        </w:rPr>
        <w:t>see [4]</w:t>
      </w:r>
      <w:r>
        <w:rPr>
          <w:rFonts w:ascii="Times New Roman" w:hAnsi="Times New Roman" w:eastAsia="SimSun"/>
          <w:b w:val="0"/>
          <w:i w:val="0"/>
          <w:sz w:val="22"/>
        </w:rPr>
        <w:t>. Put citation marks before commas and after full stops.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The examples cover a journal article ([1]), a book ([2]), a chapter ([3]), a dissertation ([4]), a Chinese article ([5]), a Chinese book ([6]), an online reference ([7]) and a classic monograph ([8]).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This is the second paragraph, with a footnote example.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2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Mathematical Formulas and Symbols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2.1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Inline Formulas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 xml:space="preserve">Inline formula example: let 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2"/>
        </w:rPr>
        <w:t xml:space="preserve"> be the equation of a circle, and let </w:t>
      </w:r>
      <m:oMath>
        <m:r>
          <m:rPr>
            <m:sty m:val="p"/>
          </m:rPr>
          <m:t xml:space="preserve">f(x)=(1+</m:t>
        </m:r>
        <m:sSup>
          <m:e>
            <m:r>
              <m:rPr>
                <m:sty m:val="p"/>
              </m:rPr>
              <m:t xml:space="preserve">e</m:t>
            </m:r>
          </m:e>
          <m:sup>
            <m:r>
              <m:rPr>
                <m:sty m:val="p"/>
              </m:rPr>
              <m:t xml:space="preserve">−x</m:t>
            </m:r>
          </m:sup>
        </m:sSup>
        <m:sSup>
          <m:e>
            <m:r>
              <m:rPr>
                <m:sty m:val="p"/>
              </m:rPr>
              <m:t xml:space="preserve">)</m:t>
            </m:r>
          </m:e>
          <m:sup>
            <m:r>
              <m:rPr>
                <m:sty m:val="p"/>
              </m:rPr>
              <m:t xml:space="preserve">−1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2"/>
        </w:rPr>
        <w:t xml:space="preserve"> be continuous on the real line.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2.2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Display Formulas and Numbering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/>
      <w:r>
        <w:rPr>
          <w:rFonts w:ascii="Times New Roman" w:hAnsi="Times New Roman" w:eastAsia="SimSun"/>
          <w:b w:val="0"/>
          <w:i w:val="0"/>
          <w:sz w:val="22"/>
        </w:rPr>
        <w:t>Equations are numbered in typesetting; no manual numbering is needed in the manuscript (a right-aligned "(1)" placeholder may be used and will be normalised in typesetting).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2.3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Logic Symbols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Logic symbols (type the Unicode characters directly; do not use symbol fonts): ¬, ∧, ∨, →, ↔, ∀, ∃, ⊢, ⊨, □, ◇, ∈, ⊆.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3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Theorems and Proofs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Theorem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If the assumptions hold, then the conclusion holds.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Lemma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The auxiliary claim follows directly from the definition.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Definition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An object satisfying the given conditions is called an object of the relevant kind.</w:t>
      </w:r>
    </w:p>
    <w:p>
      <w:pPr/>
      <w:r>
        <w:rPr>
          <w:rFonts w:ascii="Times New Roman" w:hAnsi="Times New Roman" w:eastAsia="Times New Roman"/>
          <w:b/>
          <w:i w:val="0"/>
          <w:sz w:val="22"/>
        </w:rPr>
        <w:t>Proof.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It follows directly from Theorem 1.　□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Proposition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If the conditions hold, the proposition holds.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Corollary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The conclusion follows directly from Theorem 1.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Axiom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The following condition is accepted as an axiom.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Example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An instance satisfying Definition 1.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Remark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Remarks are unnumbered; supplementary explanation.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4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Figures and Tables</w:t>
      </w:r>
    </w:p>
    <w:p>
      <w:pPr>
        <w:spacing w:before="200" w:after="4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drawing>
          <wp:inline xmlns:a="http://schemas.openxmlformats.org/drawingml/2006/main" xmlns:pic="http://schemas.openxmlformats.org/drawingml/2006/picture">
            <wp:extent cx="3240000" cy="1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fig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Figure 1: Figure caption example.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Item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Content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Example 1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Example 2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2"/>
        </w:rPr>
        <w:t>Table 1: Table caption example.</w:t>
      </w:r>
    </w:p>
    <w:p>
      <w:pPr>
        <w:spacing w:before="40" w:after="120" w:line="276" w:lineRule="exact"/>
        <w:ind w:firstLine="0"/>
      </w:pPr>
      <w:r>
        <w:rPr>
          <w:rFonts w:ascii="Times New Roman" w:hAnsi="Times New Roman" w:eastAsia="SimSun"/>
          <w:b w:val="0"/>
          <w:i w:val="0"/>
          <w:sz w:val="18"/>
        </w:rPr>
        <w:t>Note: table notes go in a body paragraph below the table; do not put footnotes inside table cells.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Cross-reference example: as shown in Figure 1, see Table 1; equations are referred to as Eq. (1).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5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Style and Formatting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5.1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Punctuation and Quotation Marks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Use half-width punctuation in English, with one space after it. Use double quotation marks “ ” for titles of articles and single ‘ ’ for quotes within quotes; book and journal titles are italicised in the reference list (already marked in the examples).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5.2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Numbers and Dashes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Years are written as 2024, dates as 2024-10-24. Dashes are not interchangeable: a hyphen (-) for numbers, dates and letter series (Table 2-9, 2022-10-08, A-level); an en dash (–) for page ranges (pp. 8–12); an em dash (—) for ranges such as Beijing—Shanghai.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5.3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English Usage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English quotations are set as separate paragraphs without quotation marks; major section titles capitalise every major word, subsections are in sentence case; the spacing in et al. and p. 8–12 is reduced by the typesetter; use an em dash for English dashes.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5.4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Long Quotations</w:t>
      </w:r>
    </w:p>
    <w:p>
      <w:pPr>
        <w:spacing w:before="120" w:after="120" w:line="302" w:lineRule="exact"/>
        <w:ind w:leftChars="200" w:left="420" w:rightChars="200" w:right="420" w:firstLineChars="200" w:firstLine="420"/>
      </w:pPr>
      <w:r>
        <w:rPr>
          <w:rFonts w:ascii="Times New Roman" w:hAnsi="Times New Roman" w:eastAsia="SimSun"/>
          <w:b w:val="0"/>
          <w:i w:val="0"/>
          <w:sz w:val="22"/>
        </w:rPr>
        <w:t>Long quotations are set as separate paragraphs without quotation marks, with appropriate spacing from the body text; this applies to both Chinese and English quotations. Keep long quotations as separate paragraphs and do not mix footnotes into a quotation paragraph.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5.5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Footnotes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A footnote mark goes before a comma and after a full stop, and the footnote ends with a full stop; when one sentence has two footnotes corresponding to different parts, both go before the punctuation. Put table notes in a body paragraph below the table (for example "Note: ..."), not inside table cells.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Zhang says it snowed in Shanghai</w:t>
      </w:r>
      <w:r>
        <w:rPr>
          <w:rStyle w:val="FootnoteReference"/>
        </w:rPr>
        <w:footnoteReference w:id="3"/>
      </w:r>
      <w:r>
        <w:rPr>
          <w:rFonts w:ascii="Times New Roman" w:hAnsi="Times New Roman" w:eastAsia="SimSun"/>
          <w:b w:val="0"/>
          <w:i w:val="0"/>
          <w:sz w:val="22"/>
        </w:rPr>
        <w:t>, while Li says the bread was delicious</w:t>
      </w:r>
      <w:r>
        <w:rPr>
          <w:rStyle w:val="FootnoteReference"/>
        </w:rPr>
        <w:footnoteReference w:id="4"/>
      </w:r>
      <w:r>
        <w:rPr>
          <w:rFonts w:ascii="Times New Roman" w:hAnsi="Times New Roman" w:eastAsia="SimSun"/>
          <w:b w:val="0"/>
          <w:i w:val="0"/>
          <w:sz w:val="22"/>
        </w:rPr>
        <w:t>.</w:t>
      </w:r>
    </w:p>
    <w:p>
      <w:pPr>
        <w:keepNext/>
        <w:spacing w:before="320" w:after="214" w:line="302" w:lineRule="exact"/>
        <w:ind w:firstLine="0"/>
        <w:jc w:val="left"/>
      </w:pPr>
      <w:r>
        <w:rPr>
          <w:rFonts w:ascii="Times New Roman" w:hAnsi="Times New Roman" w:eastAsia="SimSun"/>
          <w:b/>
          <w:i w:val="0"/>
          <w:sz w:val="24"/>
        </w:rPr>
        <w:t>References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[1] P. Benacerraf, 1981, “Frege: The last logicist”, </w:t>
      </w:r>
      <w:r>
        <w:rPr>
          <w:rFonts w:ascii="Times New Roman" w:hAnsi="Times New Roman" w:eastAsia="SimSun"/>
          <w:b w:val="0"/>
          <w:i/>
          <w:sz w:val="20"/>
        </w:rPr>
        <w:t>Midwest Studies in Philosophy</w:t>
      </w:r>
      <w:r>
        <w:rPr>
          <w:rFonts w:ascii="Times New Roman" w:hAnsi="Times New Roman" w:eastAsia="SimSun"/>
          <w:b w:val="0"/>
          <w:i w:val="0"/>
          <w:sz w:val="20"/>
        </w:rPr>
        <w:t>, 6(1): 17–35.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[2] J. Bennett, 1988, </w:t>
      </w:r>
      <w:r>
        <w:rPr>
          <w:rFonts w:ascii="Times New Roman" w:hAnsi="Times New Roman" w:eastAsia="SimSun"/>
          <w:b w:val="0"/>
          <w:i/>
          <w:sz w:val="20"/>
        </w:rPr>
        <w:t>Events and Their Names</w:t>
      </w:r>
      <w:r>
        <w:rPr>
          <w:rFonts w:ascii="Times New Roman" w:hAnsi="Times New Roman" w:eastAsia="SimSun"/>
          <w:b w:val="0"/>
          <w:i w:val="0"/>
          <w:sz w:val="20"/>
        </w:rPr>
        <w:t>, Oxford: Oxford University Press.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[3] L. D. d’Almeida, 2019, “On the legal syllogism”, in D. Plunkett, S. J. Shapiro and C. Toh (eds.), </w:t>
      </w:r>
      <w:r>
        <w:rPr>
          <w:rFonts w:ascii="Times New Roman" w:hAnsi="Times New Roman" w:eastAsia="SimSun"/>
          <w:b w:val="0"/>
          <w:i/>
          <w:sz w:val="20"/>
        </w:rPr>
        <w:t>Dimensions of Normativity: New Essays on Metaethics and Jurisprudence</w:t>
      </w:r>
      <w:r>
        <w:rPr>
          <w:rFonts w:ascii="Times New Roman" w:hAnsi="Times New Roman" w:eastAsia="SimSun"/>
          <w:b w:val="0"/>
          <w:i w:val="0"/>
          <w:sz w:val="20"/>
        </w:rPr>
        <w:t>, pp. 335–364, New York: Oxford Academic.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[4] A. C. Hastings, 1963, </w:t>
      </w:r>
      <w:r>
        <w:rPr>
          <w:rFonts w:ascii="Times New Roman" w:hAnsi="Times New Roman" w:eastAsia="SimSun"/>
          <w:b w:val="0"/>
          <w:i/>
          <w:sz w:val="20"/>
        </w:rPr>
        <w:t>A Reformulation of the Modes of Reasoning in Argumentation</w:t>
      </w:r>
      <w:r>
        <w:rPr>
          <w:rFonts w:ascii="Times New Roman" w:hAnsi="Times New Roman" w:eastAsia="SimSun"/>
          <w:b w:val="0"/>
          <w:i w:val="0"/>
          <w:sz w:val="20"/>
        </w:rPr>
        <w:t>, PhD thesis, Northwestern University.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[5] 常思礼，“试释《文心雕龙》中的‘诡’”，中北大学学报（社会科学版），2023 年第3 期，第24–31 页。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[6] 汪奠基，中国逻辑思想史，武汉：武汉大学出版社，2012 年。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[7] P. Bartha, 2019, “Analogy and analogical reasoning”, in E. N. Zalta (ed.), </w:t>
      </w:r>
      <w:r>
        <w:rPr>
          <w:rFonts w:ascii="Times New Roman" w:hAnsi="Times New Roman" w:eastAsia="SimSun"/>
          <w:b w:val="0"/>
          <w:i/>
          <w:sz w:val="20"/>
        </w:rPr>
        <w:t>The Stanford Encyclopedia of Philosophy</w:t>
      </w:r>
      <w:r>
        <w:rPr>
          <w:rFonts w:ascii="Times New Roman" w:hAnsi="Times New Roman" w:eastAsia="SimSun"/>
          <w:b w:val="0"/>
          <w:i w:val="0"/>
          <w:sz w:val="20"/>
        </w:rPr>
        <w:t xml:space="preserve"> (Spring 2019 Edition), https://plato.stanford.edu/archives/spr2019/entries/reasoning-analogy/.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[8] B. Russell, 1905, “On denoting”, </w:t>
      </w:r>
      <w:r>
        <w:rPr>
          <w:rFonts w:ascii="Times New Roman" w:hAnsi="Times New Roman" w:eastAsia="SimSun"/>
          <w:b w:val="0"/>
          <w:i/>
          <w:sz w:val="20"/>
        </w:rPr>
        <w:t>Mind</w:t>
      </w:r>
      <w:r>
        <w:rPr>
          <w:rFonts w:ascii="Times New Roman" w:hAnsi="Times New Roman" w:eastAsia="SimSun"/>
          <w:b w:val="0"/>
          <w:i w:val="0"/>
          <w:sz w:val="20"/>
        </w:rPr>
        <w:t>, 14(56): 479–493.</w:t>
      </w:r>
    </w:p>
    <w:p>
      <w:r>
        <w:br w:type="page"/>
      </w:r>
    </w:p>
    <w:p>
      <w:pPr>
        <w:spacing w:before="0" w:after="0" w:line="614" w:lineRule="exact"/>
        <w:ind w:firstLine="0"/>
      </w:pPr>
    </w:p>
    <w:p>
      <w:pPr>
        <w:spacing w:before="0" w:after="0" w:line="416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32"/>
        </w:rPr>
        <w:t>中文标题</w:t>
      </w:r>
    </w:p>
    <w:p>
      <w:pPr>
        <w:spacing w:before="392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第一作者　第二作者　第三作者</w:t>
      </w:r>
      <w:r>
        <w:rPr>
          <w:rStyle w:val="FootnoteReference"/>
        </w:rPr>
        <w:footnoteReference w:id="5"/>
      </w:r>
    </w:p>
    <w:p>
      <w:pPr>
        <w:spacing w:before="414" w:after="242" w:line="312" w:lineRule="exact"/>
        <w:ind w:firstLine="0"/>
        <w:jc w:val="center"/>
      </w:pPr>
      <w:r>
        <w:rPr>
          <w:rFonts w:ascii="Times New Roman" w:hAnsi="Times New Roman" w:eastAsia="SimHei"/>
          <w:b w:val="0"/>
          <w:i w:val="0"/>
          <w:sz w:val="24"/>
        </w:rPr>
        <w:t>摘　　要</w:t>
      </w:r>
    </w:p>
    <w:p>
      <w:pPr>
        <w:spacing w:before="122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请输入中文摘要。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San Zhang,</w:t>
      </w:r>
      <w:r>
        <w:rPr>
          <w:rFonts w:ascii="Times New Roman" w:hAnsi="Times New Roman" w:eastAsia="Times New Roman"/>
          <w:sz w:val="18"/>
          <w:szCs w:val="18"/>
        </w:rPr>
        <w:t xml:space="preserve"> Department of Philosophy, Example University, E-mail: zhangsan@example.edu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Si Li,</w:t>
      </w:r>
      <w:r>
        <w:rPr>
          <w:rFonts w:ascii="Times New Roman" w:hAnsi="Times New Roman" w:eastAsia="Times New Roman"/>
          <w:sz w:val="18"/>
          <w:szCs w:val="18"/>
        </w:rPr>
        <w:t xml:space="preserve"> Department of Philosophy, Example University, E-mail: lisi@example.edu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Wu Wang,</w:t>
      </w:r>
      <w:r>
        <w:rPr>
          <w:rFonts w:ascii="Times New Roman" w:hAnsi="Times New Roman" w:eastAsia="Times New Roman"/>
          <w:sz w:val="18"/>
          <w:szCs w:val="18"/>
        </w:rPr>
        <w:t xml:space="preserve"> School of Philosophy, Example University, E-mail: wangwu@example.edu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Acknowledgements: </w:t>
      </w:r>
      <w:r>
        <w:rPr>
          <w:rFonts w:ascii="Times New Roman" w:hAnsi="Times New Roman" w:eastAsia="Times New Roman"/>
          <w:sz w:val="18"/>
          <w:szCs w:val="18"/>
        </w:rPr>
        <w:t xml:space="preserve">Please insert grants/acknowledgements here, or delete this line.</w:t>
      </w:r>
    </w:p>
  </w:footnote>
  <w:footnote w:id="2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Footnote example: </w:t>
      </w:r>
      <w:r>
        <w:rPr>
          <w:rFonts w:ascii="Times New Roman" w:hAnsi="Times New Roman" w:eastAsia="Times New Roman"/>
          <w:sz w:val="18"/>
          <w:szCs w:val="18"/>
        </w:rPr>
        <w:t xml:space="preserve">explanatory footnotes are placed at the bottom of the page in 9 pt type.</w:t>
      </w:r>
    </w:p>
  </w:footnote>
  <w:footnote w:id="3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This is a footnote.</w:t>
      </w:r>
    </w:p>
  </w:footnote>
  <w:footnote w:id="4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This is another footnote.</w:t>
      </w:r>
    </w:p>
  </w:footnote>
  <w:footnote w:id="5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KaiTi"/>
          <w:sz w:val="18"/>
          <w:szCs w:val="18"/>
        </w:rPr>
        <w:t xml:space="preserve">第一作者</w:t>
      </w:r>
      <w:r>
        <w:rPr>
          <w:rFonts w:ascii="Times New Roman" w:hAnsi="Times New Roman" w:eastAsia="SimSun"/>
          <w:sz w:val="18"/>
          <w:szCs w:val="18"/>
        </w:rPr>
        <w:t xml:space="preserve">　单位一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KaiTi"/>
          <w:sz w:val="18"/>
          <w:szCs w:val="18"/>
        </w:rPr>
        <w:t xml:space="preserve">第二作者</w:t>
      </w:r>
      <w:r>
        <w:rPr>
          <w:rFonts w:ascii="Times New Roman" w:hAnsi="Times New Roman" w:eastAsia="SimSun"/>
          <w:sz w:val="18"/>
          <w:szCs w:val="18"/>
        </w:rPr>
        <w:t xml:space="preserve">　单位二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KaiTi"/>
          <w:sz w:val="18"/>
          <w:szCs w:val="18"/>
        </w:rPr>
        <w:t xml:space="preserve">第三作者</w:t>
      </w:r>
      <w:r>
        <w:rPr>
          <w:rFonts w:ascii="Times New Roman" w:hAnsi="Times New Roman" w:eastAsia="SimSun"/>
          <w:sz w:val="18"/>
          <w:szCs w:val="18"/>
        </w:rPr>
        <w:t xml:space="preserve">　单位三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xxxx@xxxx.xxx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86" w:lineRule="atLeas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2"/>
      <w:lang w:val="en-US" w:eastAsia="en-US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5" w:after="220" w:line="30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24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8" w:after="147" w:line="276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21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36" w:lineRule="exact" w:before="486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5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2"/>
      <w:szCs w:val="18"/>
      <w:lang w:val="en-US" w:eastAsia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27" w:lineRule="exact"/>
      <w:ind w:firstLine="0"/>
      <w:jc w:val="both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Studies in Logic author submission template (English)</dc:title>
  <dc:subject>Author submission template</dc:subject>
  <dc:creator>Studies in Logic Editorial Office</dc:creator>
  <cp:keywords/>
  <dc:description>Placeholder example; contains no real author/manuscript content.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