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6"/>
        </w:rPr>
        <w:t>论文中文标题</w:t>
      </w:r>
    </w:p>
    <w:p>
      <w:pPr>
        <w:spacing w:before="346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张三　李四　王五</w:t>
      </w:r>
      <w:r>
        <w:rPr>
          <w:rStyle w:val="FootnoteReference"/>
        </w:rPr>
        <w:footnoteReference w:id="1"/>
      </w:r>
    </w:p>
    <w:p>
      <w:pPr>
        <w:spacing w:before="372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摘　要：</w:t>
      </w:r>
      <w:r>
        <w:rPr>
          <w:rFonts w:ascii="Times New Roman" w:hAnsi="Times New Roman" w:eastAsia="SimSun"/>
          <w:b w:val="0"/>
          <w:i w:val="0"/>
          <w:sz w:val="18"/>
        </w:rPr>
        <w:t>摘要正文……</w:t>
      </w:r>
    </w:p>
    <w:p>
      <w:pPr>
        <w:spacing w:before="0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关键词：</w:t>
      </w:r>
      <w:r>
        <w:rPr>
          <w:rFonts w:ascii="Times New Roman" w:hAnsi="Times New Roman" w:eastAsia="SimSun"/>
          <w:b w:val="0"/>
          <w:i w:val="0"/>
          <w:sz w:val="18"/>
        </w:rPr>
        <w:t>关键词1；关键词2；关键词3</w:t>
      </w:r>
    </w:p>
    <w:p>
      <w:pPr>
        <w:spacing w:before="0" w:after="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中图分类号：</w:t>
      </w:r>
      <w:r>
        <w:rPr>
          <w:rFonts w:ascii="Times New Roman" w:hAnsi="Times New Roman" w:eastAsia="SimSun"/>
          <w:b w:val="0"/>
          <w:i w:val="0"/>
          <w:sz w:val="18"/>
        </w:rPr>
        <w:t>B81</w:t>
      </w:r>
      <w:r>
        <w:rPr>
          <w:rFonts w:ascii="Times New Roman" w:hAnsi="Times New Roman" w:eastAsia="SimSun"/>
          <w:b w:val="0"/>
          <w:i w:val="0"/>
          <w:sz w:val="19"/>
        </w:rPr>
        <w:t xml:space="preserve">　　　　</w:t>
      </w:r>
      <w:r>
        <w:rPr>
          <w:rFonts w:ascii="Times New Roman" w:hAnsi="Times New Roman" w:eastAsia="SimHei"/>
          <w:b w:val="0"/>
          <w:i w:val="0"/>
          <w:sz w:val="21"/>
        </w:rPr>
        <w:t>文献标识码：</w:t>
      </w:r>
      <w:r>
        <w:rPr>
          <w:rFonts w:ascii="Times New Roman" w:hAnsi="Times New Roman" w:eastAsia="SimSun"/>
          <w:b w:val="0"/>
          <w:i w:val="0"/>
          <w:sz w:val="18"/>
        </w:rPr>
        <w:t>A</w:t>
      </w:r>
    </w:p>
    <w:p>
      <w:pPr>
        <w:pStyle w:val="Heading1"/>
        <w:spacing w:before="507"/>
      </w:pPr>
      <w:r>
        <w:rPr>
          <w:rFonts w:ascii="Times New Roman" w:hAnsi="Times New Roman" w:eastAsia="SimHei"/>
          <w:b/>
          <w:i w:val="0"/>
          <w:sz w:val="24"/>
        </w:rPr>
        <w:t>1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引言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正文从这里开始。请在此填写论文正文。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正文中的文献引用一般直接加括号写在正文里，例如只引一篇写</w:t>
      </w:r>
      <w:r>
        <w:rPr>
          <w:rFonts w:ascii="Times New Roman" w:hAnsi="Times New Roman" w:eastAsia="SimSun"/>
          <w:b w:val="0"/>
          <w:i w:val="0"/>
          <w:sz w:val="21"/>
        </w:rPr>
        <w:t>（[1]）</w:t>
      </w:r>
      <w:r>
        <w:rPr>
          <w:rFonts w:ascii="Times New Roman" w:hAnsi="Times New Roman" w:eastAsia="SimSun"/>
          <w:b w:val="0"/>
          <w:i w:val="0"/>
          <w:sz w:val="21"/>
        </w:rPr>
        <w:t>；引专著并标具体页码写</w:t>
      </w:r>
      <w:r>
        <w:rPr>
          <w:rFonts w:ascii="Times New Roman" w:hAnsi="Times New Roman" w:eastAsia="SimSun"/>
          <w:b w:val="0"/>
          <w:i w:val="0"/>
          <w:sz w:val="21"/>
        </w:rPr>
        <w:t>（[2]，第45 页）</w:t>
      </w:r>
      <w:r>
        <w:rPr>
          <w:rFonts w:ascii="Times New Roman" w:hAnsi="Times New Roman" w:eastAsia="SimSun"/>
          <w:b w:val="0"/>
          <w:i w:val="0"/>
          <w:sz w:val="21"/>
        </w:rPr>
        <w:t>；同一处引多篇文献时只写一个括号、序号由小到大，如</w:t>
      </w:r>
      <w:r>
        <w:rPr>
          <w:rFonts w:ascii="Times New Roman" w:hAnsi="Times New Roman" w:eastAsia="SimSun"/>
          <w:b w:val="0"/>
          <w:i w:val="0"/>
          <w:sz w:val="21"/>
        </w:rPr>
        <w:t>（[1，5，6]）</w:t>
      </w:r>
      <w:r>
        <w:rPr>
          <w:rFonts w:ascii="Times New Roman" w:hAnsi="Times New Roman" w:eastAsia="SimSun"/>
          <w:b w:val="0"/>
          <w:i w:val="0"/>
          <w:sz w:val="21"/>
        </w:rPr>
        <w:t>；带引导语（参见、参看、详见等）时编号不加括号，写</w:t>
      </w:r>
      <w:r>
        <w:rPr>
          <w:rFonts w:ascii="Times New Roman" w:hAnsi="Times New Roman" w:eastAsia="SimSun"/>
          <w:b w:val="0"/>
          <w:i w:val="0"/>
          <w:sz w:val="21"/>
        </w:rPr>
        <w:t>参见文献[4]</w:t>
      </w:r>
      <w:r>
        <w:rPr>
          <w:rFonts w:ascii="Times New Roman" w:hAnsi="Times New Roman" w:eastAsia="SimSun"/>
          <w:b w:val="0"/>
          <w:i w:val="0"/>
          <w:sz w:val="21"/>
        </w:rPr>
        <w:t>。引用标记放在逗号前、句号后；摘要中不使用引用编号，按「作者（年份）」叙述。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本模板示例共引用 8 类文献：中文期刊（[1]）、中文图书（[2]）、中文译著（[3]）、中文学位论文（[4]）、英文期刊（[5]）、英文编著章节（[6]）、英文图书（[7]）、网络资源（[8]）。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正文第二段，含一个脚注示例。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2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数学公式与符号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行内公式与逻辑符号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行内公式示例：设</w:t>
      </w:r>
      <m:oMath>
        <m:sSup>
          <m:e>
            <m:r>
              <m:rPr>
                <m:sty m:val="p"/>
              </m:rPr>
              <m:t xml:space="preserve">x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+</m:t>
        </m:r>
        <m:sSup>
          <m:e>
            <m:r>
              <m:rPr>
                <m:sty m:val="p"/>
              </m:rPr>
              <m:t xml:space="preserve">y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=</m:t>
        </m:r>
        <m:sSup>
          <m:e>
            <m:r>
              <m:rPr>
                <m:sty m:val="p"/>
              </m:rPr>
              <m:t xml:space="preserve">r</m:t>
            </m:r>
          </m:e>
          <m:sup>
            <m:r>
              <m:rPr>
                <m:sty m:val="p"/>
              </m:rPr>
              <m:t xml:space="preserve">2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为圆的方程；函数</w:t>
      </w:r>
      <m:oMath>
        <m:r>
          <m:rPr>
            <m:sty m:val="p"/>
          </m:rPr>
          <m:t xml:space="preserve">f(x)=(1+</m:t>
        </m:r>
        <m:sSup>
          <m:e>
            <m:r>
              <m:rPr>
                <m:sty m:val="p"/>
              </m:rPr>
              <m:t xml:space="preserve">e</m:t>
            </m:r>
          </m:e>
          <m:sup>
            <m:r>
              <m:rPr>
                <m:sty m:val="p"/>
              </m:rPr>
              <m:t xml:space="preserve">−x</m:t>
            </m:r>
          </m:sup>
        </m:sSup>
        <m:r>
          <m:rPr>
            <m:sty m:val="p"/>
          </m:rPr>
          <m:t xml:space="preserve">)</m:t>
        </m:r>
        <m:sSup>
          <m:e>
            <m:r>
              <m:rPr>
                <m:sty m:val="p"/>
              </m:rPr>
              <m:t xml:space="preserve">)</m:t>
            </m:r>
          </m:e>
          <m:sup>
            <m:r>
              <m:rPr>
                <m:sty m:val="p"/>
              </m:rPr>
              <m:t xml:space="preserve">−1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在实数域上连续；对任意</w:t>
      </w:r>
      <m:oMath>
        <m:r>
          <m:rPr>
            <m:sty m:val="p"/>
          </m:rPr>
          <m:t xml:space="preserve">ε&gt;0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，存在</w:t>
      </w:r>
      <m:oMath>
        <m:r>
          <m:rPr>
            <m:sty m:val="p"/>
          </m:rPr>
          <m:t xml:space="preserve">δ&gt;0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，当</w:t>
      </w:r>
      <m:oMath>
        <m:r>
          <m:rPr>
            <m:sty m:val="p"/>
          </m:rPr>
          <m:t xml:space="preserve">|x−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|&lt;δ</m:t>
        </m:r>
      </m:oMath>
      <w:r>
        <w:rPr>
          <w:rFonts w:ascii="Times New Roman" w:hAnsi="Times New Roman" w:eastAsia="SimSun"/>
          <w:b w:val="0"/>
          <w:i w:val="0"/>
          <w:sz w:val="21"/>
        </w:rPr>
        <w:t>时有</w:t>
      </w:r>
      <m:oMath>
        <m:r>
          <m:rPr>
            <m:sty m:val="p"/>
          </m:rPr>
          <m:t xml:space="preserve">|f(x)−f(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)|&lt;ε</m:t>
        </m:r>
      </m:oMath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逻辑符号示例（请直接输入 Unicode 字符，不要使用符号字体）：¬、∧、∨、→、↔、∀、∃、⊢、⊨、□、◇、∈、⊆。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独立公式</w:t>
      </w:r>
    </w:p>
    <w:p>
      <w:pPr>
        <w:spacing w:before="120" w:after="120" w:line="240" w:lineRule="auto"/>
        <w:ind w:firstLine="0"/>
        <w:jc w:val="center"/>
      </w:pPr>
      <m:oMathPara>
        <m:oMath>
          <m:r>
            <m:rPr>
              <m:sty m:val="p"/>
            </m:rPr>
            <m:t xml:space="preserve">f(x)=</m:t>
          </m:r>
          <m:f>
            <m:num>
              <m:r>
                <m:rPr>
                  <m:sty m:val="p"/>
                </m:rPr>
                <m:t xml:space="preserve">1</m:t>
              </m:r>
            </m:num>
            <m:den>
              <m:r>
                <m:rPr>
                  <m:sty m:val="p"/>
                </m:rPr>
                <m:t xml:space="preserve">1+</m:t>
              </m:r>
              <m:sSup>
                <m:e>
                  <m:r>
                    <m:rPr>
                      <m:sty m:val="p"/>
                    </m:rPr>
                    <m:t xml:space="preserve">e</m:t>
                  </m:r>
                </m:e>
                <m:sup>
                  <m:r>
                    <m:rPr>
                      <m:sty m:val="p"/>
                    </m:rPr>
                    <m:t xml:space="preserve">−x</m:t>
                  </m:r>
                </m:sup>
              </m:sSup>
            </m:den>
          </m:f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(a+b)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=</m:t>
          </m:r>
          <m:sSup>
            <m:e>
              <m:r>
                <m:rPr>
                  <m:sty m:val="p"/>
                </m:rPr>
                <m:t xml:space="preserve">a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+2ab+</m:t>
          </m:r>
          <m:sSup>
            <m:e>
              <m:r>
                <m:rPr>
                  <m:sty m:val="p"/>
                </m:rPr>
                <m:t xml:space="preserve">b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α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</m:t>
          </m:r>
          <m:sSup>
            <m:e>
              <m:r>
                <m:rPr>
                  <m:sty m:val="p"/>
                </m:rPr>
                <m:t xml:space="preserve">β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≥2αβ</m:t>
          </m:r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rPr>
                  <m:sty m:val="p"/>
                </m:rPr>
                <m:t xml:space="preserve">i=1</m:t>
              </m:r>
            </m:sub>
            <m:sup>
              <m:r>
                <m:rPr>
                  <m:sty m:val="p"/>
                </m:rPr>
                <m:t xml:space="preserve">n</m:t>
              </m:r>
            </m:sup>
            <m:e>
              <m:r>
                <m:rPr>
                  <m:sty m:val="p"/>
                </m:rPr>
                <m:t xml:space="preserve">i</m:t>
              </m:r>
            </m:e>
          </m:nary>
          <m:r>
            <m:rPr>
              <m:sty m:val="p"/>
            </m:rPr>
            <m:t xml:space="preserve">=</m:t>
          </m:r>
          <m:f>
            <m:num>
              <m:r>
                <m:rPr>
                  <m:sty m:val="p"/>
                </m:rPr>
                <m:t xml:space="preserve">n(n+1)</m:t>
              </m:r>
            </m:num>
            <m:den>
              <m:r>
                <m:rPr>
                  <m:sty m:val="p"/>
                </m:rPr>
                <m:t xml:space="preserve">2</m:t>
              </m:r>
            </m:den>
          </m:f>
        </m:oMath>
      </m:oMathPara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3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定理、引理与证明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若公式成立且条件满足，则结论成立。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引理1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由定义可直接验证辅助结论。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定义1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若对象满足给定条件，则称该对象为某类对象。</w:t>
      </w:r>
    </w:p>
    <w:p>
      <w:pPr/>
      <w:r>
        <w:rPr>
          <w:rFonts w:ascii="Times New Roman" w:hAnsi="Times New Roman" w:eastAsia="KaiTi"/>
          <w:b w:val="0"/>
          <w:i w:val="0"/>
          <w:sz w:val="21"/>
        </w:rPr>
        <w:t>证明.</w:t>
      </w:r>
      <w:r>
        <w:rPr>
          <w:rFonts w:ascii="Times New Roman" w:hAnsi="Times New Roman" w:eastAsia="SimSun"/>
          <w:b w:val="0"/>
          <w:i w:val="0"/>
          <w:sz w:val="21"/>
        </w:rPr>
        <w:t xml:space="preserve">　由定理1 直接可得。</w:t>
      </w:r>
      <w:r>
        <w:rPr>
          <w:rFonts w:ascii="Times New Roman" w:hAnsi="Times New Roman" w:eastAsia="SimSun"/>
          <w:b w:val="0"/>
          <w:i w:val="0"/>
          <w:sz w:val="21"/>
        </w:rPr>
        <w:t xml:space="preserve">　□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4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图表示例</w:t>
      </w:r>
    </w:p>
    <w:p>
      <w:pPr>
        <w:spacing w:before="200" w:after="40" w:line="273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18"/>
        </w:rPr>
        <w:t>（此处插入图片：请单独成段插入 PNG/JPG，并另附 PDF/PPT 等矢量源文件）</w:t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图1: 图题示例</w:t>
      </w:r>
    </w:p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1"/>
        </w:rPr>
        <w:t>表1: 表题示例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示例一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示例二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spacing w:before="80" w:after="120" w:line="273" w:lineRule="exact"/>
        <w:ind w:firstLine="0"/>
      </w:pPr>
      <w:r>
        <w:rPr>
          <w:rFonts w:ascii="Times New Roman" w:hAnsi="Times New Roman" w:eastAsia="SimSun"/>
          <w:b w:val="0"/>
          <w:i w:val="0"/>
          <w:sz w:val="18"/>
        </w:rPr>
        <w:t>注：表格注释写在表格下方的正文段；不要把脚注插入表格单元格（转换时表格内脚注会被丢弃）。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5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语言与格式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标点、数字与连接号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中文正文使用全角标点（，。；：、“”），英文与数字使用半角并在其后留空格；年份写「2024 年」，日期写「2024-10-24」。连接号有三种，不可混用：短横「-」用于编号、日期与字母序号（表2-9、2022-10-08、A-级别）；双短横「–」用于页码范围（第8–12 页）；一字线「—」用于区间（北京—上海、秦岭—淮河）。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英文规范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英文引文独立成段、不加引号；大章节标题每词首字母大写，小章节仅句首大写；et al. 与 p. 8–12 的间隔由排版自动缩小；英文破折号用一字线。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6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长引文与脚注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6.1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长引文</w:t>
      </w:r>
    </w:p>
    <w:p>
      <w:pPr>
        <w:spacing w:before="120" w:after="120" w:line="302" w:lineRule="exact"/>
        <w:ind w:leftChars="200" w:left="420" w:rightChars="200" w:right="420" w:firstLineChars="200" w:firstLine="420"/>
      </w:pPr>
      <w:r>
        <w:rPr>
          <w:rFonts w:ascii="Times New Roman" w:hAnsi="Times New Roman" w:eastAsia="KaiTi"/>
          <w:b w:val="0"/>
          <w:i w:val="0"/>
          <w:sz w:val="21"/>
        </w:rPr>
        <w:t>长引文独立成段、不加引号，与正文之间留出适当间距；中文与英文引文均按此处理，与 LaTeX 模板的 quotation 环境一致。转换时引擎会按引文长度自动识别，因此长引文请单独成段，不要在引文段落中混排脚注。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6.2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脚注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脚注标记放在逗号前、句号后，脚注内容以句号结尾；一句话有两处脚注且各对应一部分时，都放在标点前面。表格中的脚注在转换时会被丢弃，表格注释请写在表格下方的正文段（如「注：……」），不要插入表格单元格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张三说上海下雪了</w:t>
      </w:r>
      <w:r>
        <w:rPr>
          <w:rStyle w:val="FootnoteReference"/>
        </w:rPr>
        <w:footnoteReference w:id="3"/>
      </w:r>
      <w:r>
        <w:rPr>
          <w:rFonts w:ascii="Times New Roman" w:hAnsi="Times New Roman" w:eastAsia="SimSun"/>
          <w:b w:val="0"/>
          <w:i w:val="0"/>
          <w:sz w:val="21"/>
        </w:rPr>
        <w:t>，而李四说面包真好吃</w:t>
      </w:r>
      <w:r>
        <w:rPr>
          <w:rStyle w:val="FootnoteReference"/>
        </w:rPr>
        <w:footnoteReference w:id="4"/>
      </w:r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>
        <w:keepNext/>
        <w:spacing w:before="340" w:after="210" w:line="312" w:lineRule="exact"/>
        <w:ind w:firstLine="0"/>
        <w:jc w:val="left"/>
      </w:pPr>
      <w:r>
        <w:rPr>
          <w:rFonts w:ascii="Times New Roman" w:hAnsi="Times New Roman" w:eastAsia="SimHei"/>
          <w:b w:val="0"/>
          <w:i w:val="0"/>
          <w:sz w:val="24"/>
        </w:rPr>
        <w:t>参考文献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[1] 常思礼，“试释《文心雕龙》中的‘诡’”，中北大学学报（社会科学版），2023 年第3 期，第24–31 页。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[2] 汪奠基，中国逻辑思想史，武汉：武汉大学出版社，2012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[3] 弗雷格（著），王路（译），算术基础，北京：商务印书馆，1998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[4] 吴梅红，基于动态认知逻辑的多主体系统知识推理研究，博士论文，厦门大学，2009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[5] P. Benacerraf, 1981, “Frege: The last logicist”, Midwest Studies in Philosophy, 6(1): 17–35.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[6] K. Gödel, 1995, “Some basic theorems on the foundations of mathematics and their implications”, in S. Feferman et al. (eds.), Kurt Gödel Collected Works, Volume III: Unpublished Essays and Lectures, pp. 304–323,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[7] J. Bennett, 1988, Events and Their Names,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[8] P. Bartha, 2019, “Analogy and analogical reasoning”, in E. N. Zalta (ed.), The Stanford Encyclopedia of Philosophy (Spring 2019 Edition), https://plato.stanford.edu/archives/spr2019/entries/reasoning-analogy/.</w:t>
      </w:r>
    </w:p>
    <w:p>
      <w:r>
        <w:br w:type="page"/>
      </w:r>
    </w:p>
    <w:p>
      <w:pPr>
        <w:spacing w:before="0" w:after="0" w:line="296" w:lineRule="exact"/>
        <w:ind w:firstLine="0"/>
      </w:pPr>
    </w:p>
    <w:p>
      <w:pPr>
        <w:spacing w:before="0" w:after="0" w:line="436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30"/>
        </w:rPr>
        <w:t>English Title</w:t>
      </w:r>
    </w:p>
    <w:p>
      <w:pPr>
        <w:spacing w:before="507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1"/>
        </w:rPr>
        <w:t>First Author　Second Author　Third Author</w:t>
      </w:r>
      <w:r>
        <w:rPr>
          <w:rStyle w:val="FootnoteReference"/>
        </w:rPr>
        <w:footnoteReference w:id="5"/>
      </w:r>
    </w:p>
    <w:p>
      <w:pPr>
        <w:spacing w:before="204" w:after="109" w:line="302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24"/>
        </w:rPr>
        <w:t>Abstract</w:t>
      </w:r>
    </w:p>
    <w:p>
      <w:pPr>
        <w:spacing w:before="0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Abstract text in English. Please insert the English abstract of the paper here.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作者信息：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张三，中山大学哲学系，E-mail：zhangsan@example.edu.cn。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李四，北京大学哲学系，E-mail：lisi@example.edu.cn。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王五，复旦大学哲学学院，E-mail：wangwu@example.edu.cn。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基金项目：</w:t>
      </w:r>
      <w:r>
        <w:rPr>
          <w:rFonts w:ascii="Times New Roman" w:hAnsi="Times New Roman" w:eastAsia="SimSun"/>
          <w:sz w:val="15"/>
          <w:szCs w:val="15"/>
        </w:rPr>
        <w:t xml:space="preserve">国家社会科学基金项目（编号：XXXXXXXX）。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致　　谢：</w:t>
      </w:r>
      <w:r>
        <w:rPr>
          <w:rFonts w:ascii="Times New Roman" w:hAnsi="Times New Roman" w:eastAsia="SimSun"/>
          <w:sz w:val="15"/>
          <w:szCs w:val="15"/>
        </w:rPr>
        <w:t xml:space="preserve">感谢……。</w:t>
      </w:r>
    </w:p>
  </w:footnote>
  <w:footnote w:id="2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脚注示例：</w:t>
      </w:r>
      <w:r>
        <w:rPr>
          <w:rFonts w:ascii="Times New Roman" w:hAnsi="Times New Roman" w:eastAsia="SimSun"/>
          <w:sz w:val="15"/>
          <w:szCs w:val="15"/>
        </w:rPr>
        <w:t xml:space="preserve">说明性脚注排在页面底部，六号宋体，缩进 2 个字符。</w:t>
      </w:r>
    </w:p>
  </w:footnote>
  <w:footnote w:id="3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Sun"/>
          <w:sz w:val="15"/>
          <w:szCs w:val="15"/>
        </w:rPr>
        <w:t xml:space="preserve">这是一个脚注。</w:t>
      </w:r>
    </w:p>
  </w:footnote>
  <w:footnote w:id="4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Sun"/>
          <w:sz w:val="15"/>
          <w:szCs w:val="15"/>
        </w:rPr>
        <w:t xml:space="preserve">这也是一个脚注。</w:t>
      </w:r>
    </w:p>
  </w:footnote>
  <w:footnote w:id="5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5"/>
          <w:szCs w:val="15"/>
        </w:rPr>
        <w:t xml:space="preserve">First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first@example.edu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Second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second@example.edu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Third Author</w:t>
      </w:r>
      <w:r>
        <w:rPr>
          <w:rFonts w:ascii="Times New Roman" w:hAnsi="Times New Roman" w:eastAsia="Times New Roman"/>
          <w:sz w:val="15"/>
          <w:szCs w:val="15"/>
        </w:rPr>
        <w:t xml:space="preserve">　School of Philosophy, Example University; E-mail: third@example.edu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28" w:lineRule="atLeas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1"/>
      <w:lang w:val="en-US" w:eastAsia="zh-CN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76" w:after="218" w:line="31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4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40" w:line="328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1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68" w:lineRule="exact" w:before="522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6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3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1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34" w:lineRule="exact"/>
      <w:ind w:firstLine="0"/>
      <w:jc w:val="both"/>
    </w:pPr>
    <w:rPr>
      <w:rFonts w:ascii="Times New Roman" w:hAnsi="Times New Roman" w:cs="Times New Roman" w:eastAsia="SimSun"/>
      <w:b w:val="0"/>
      <w:sz w:val="15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《逻辑学研究》作者投稿模板（中文版）</dc:title>
  <dc:subject>作者投稿模板</dc:subject>
  <dc:creator>《逻辑学研究》编辑部</dc:creator>
  <cp:keywords/>
  <dc:description>占位示例；不含真实作者/稿件内容。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