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SimSun"/>
          <w:b w:val="0"/>
          <w:i w:val="0"/>
          <w:sz w:val="35"/>
        </w:rPr>
        <w:t>Insert Your Title Here</w:t>
      </w:r>
    </w:p>
    <w:p>
      <w:pPr>
        <w:spacing w:before="292" w:after="0" w:line="302" w:lineRule="exact"/>
        <w:ind w:firstLine="0"/>
        <w:jc w:val="center"/>
      </w:pPr>
      <w:r>
        <w:rPr>
          <w:rFonts w:ascii="Times New Roman" w:hAnsi="Times New Roman" w:eastAsia="SimSun"/>
          <w:b w:val="0"/>
          <w:i w:val="0"/>
          <w:sz w:val="24"/>
        </w:rPr>
        <w:t>San Zhang, Si Li, Wu Wang</w:t>
      </w:r>
      <w:r>
        <w:rPr>
          <w:rStyle w:val="FootnoteReference"/>
        </w:rPr>
        <w:footnoteReference w:id="1"/>
      </w:r>
    </w:p>
    <w:p>
      <w:pPr>
        <w:spacing w:before="167" w:after="0" w:line="227" w:lineRule="exact"/>
        <w:ind w:firstLine="0" w:left="284" w:leftChars="0" w:right="284"/>
        <w:jc w:val="left"/>
      </w:pPr>
      <w:r>
        <w:rPr>
          <w:rFonts w:ascii="Times New Roman" w:hAnsi="Times New Roman" w:eastAsia="SimSun"/>
          <w:b/>
          <w:i w:val="0"/>
          <w:sz w:val="18"/>
        </w:rPr>
        <w:t>Abstract.</w:t>
      </w:r>
      <w:r>
        <w:rPr>
          <w:rFonts w:ascii="Times New Roman" w:hAnsi="Times New Roman" w:eastAsia="SimSun"/>
          <w:b w:val="0"/>
          <w:i w:val="0"/>
          <w:sz w:val="18"/>
        </w:rPr>
        <w:t xml:space="preserve">　</w:t>
      </w:r>
      <w:r>
        <w:rPr>
          <w:rFonts w:ascii="Times New Roman" w:hAnsi="Times New Roman" w:eastAsia="SimSun"/>
          <w:b w:val="0"/>
          <w:i w:val="0"/>
          <w:sz w:val="18"/>
        </w:rPr>
        <w:t>Insert the English abstract here (about 150–250 words).</w:t>
      </w:r>
    </w:p>
    <w:p>
      <w:pPr>
        <w:pStyle w:val="Heading1"/>
      </w:pPr>
      <w:r>
        <w:rPr>
          <w:rFonts w:ascii="Times New Roman" w:hAnsi="Times New Roman" w:eastAsia="Times New Roman"/>
          <w:b/>
          <w:i w:val="0"/>
          <w:sz w:val="24"/>
        </w:rPr>
        <w:t>1</w:t>
      </w:r>
      <w:r>
        <w:rPr>
          <w:rFonts w:ascii="Times New Roman" w:hAnsi="Times New Roman" w:eastAsia="Times New Roman"/>
          <w:b w:val="0"/>
          <w:i w:val="0"/>
          <w:sz w:val="24"/>
        </w:rPr>
        <w:t xml:space="preserve">　</w:t>
      </w:r>
      <w:r>
        <w:rPr>
          <w:rFonts w:ascii="Times New Roman" w:hAnsi="Times New Roman" w:eastAsia="Times New Roman"/>
          <w:b w:val="0"/>
          <w:i w:val="0"/>
          <w:sz w:val="24"/>
        </w:rPr>
        <w:t>Introduction</w:t>
      </w:r>
    </w:p>
    <w:p>
      <w:pPr/>
      <w:r>
        <w:rPr>
          <w:rFonts w:ascii="Times New Roman" w:hAnsi="Times New Roman" w:eastAsia="SimSun"/>
          <w:b w:val="0"/>
          <w:i w:val="0"/>
          <w:sz w:val="22"/>
        </w:rPr>
        <w:t>This is the first paragraph of the body text. Please insert your paper here.</w:t>
      </w:r>
    </w:p>
    <w:p>
      <w:pPr/>
      <w:r>
        <w:rPr>
          <w:rFonts w:ascii="Times New Roman" w:hAnsi="Times New Roman" w:eastAsia="SimSun"/>
          <w:b w:val="0"/>
          <w:i w:val="0"/>
          <w:sz w:val="22"/>
        </w:rPr>
        <w:t xml:space="preserve">Citations are normally given in parentheses in the running text: one item </w:t>
      </w:r>
      <w:r>
        <w:rPr>
          <w:rFonts w:ascii="Times New Roman" w:hAnsi="Times New Roman" w:eastAsia="SimSun"/>
          <w:b w:val="0"/>
          <w:i w:val="0"/>
          <w:sz w:val="22"/>
        </w:rPr>
        <w:t>([1])</w:t>
      </w:r>
      <w:r>
        <w:rPr>
          <w:rFonts w:ascii="Times New Roman" w:hAnsi="Times New Roman" w:eastAsia="SimSun"/>
          <w:b w:val="0"/>
          <w:i w:val="0"/>
          <w:sz w:val="22"/>
        </w:rPr>
        <w:t xml:space="preserve">; a book with a page number </w:t>
      </w:r>
      <w:r>
        <w:rPr>
          <w:rFonts w:ascii="Times New Roman" w:hAnsi="Times New Roman" w:eastAsia="SimSun"/>
          <w:b w:val="0"/>
          <w:i w:val="0"/>
          <w:sz w:val="22"/>
        </w:rPr>
        <w:t>([2], p. 45)</w:t>
      </w:r>
      <w:r>
        <w:rPr>
          <w:rFonts w:ascii="Times New Roman" w:hAnsi="Times New Roman" w:eastAsia="SimSun"/>
          <w:b w:val="0"/>
          <w:i w:val="0"/>
          <w:sz w:val="22"/>
        </w:rPr>
        <w:t xml:space="preserve">; several items at once, in ascending order </w:t>
      </w:r>
      <w:r>
        <w:rPr>
          <w:rFonts w:ascii="Times New Roman" w:hAnsi="Times New Roman" w:eastAsia="SimSun"/>
          <w:b w:val="0"/>
          <w:i w:val="0"/>
          <w:sz w:val="22"/>
        </w:rPr>
        <w:t>([1, 6, 7])</w:t>
      </w:r>
      <w:r>
        <w:rPr>
          <w:rFonts w:ascii="Times New Roman" w:hAnsi="Times New Roman" w:eastAsia="SimSun"/>
          <w:b w:val="0"/>
          <w:i w:val="0"/>
          <w:sz w:val="22"/>
        </w:rPr>
        <w:t xml:space="preserve">; with a lead-in (see, cf.) the number takes no parentheses: </w:t>
      </w:r>
      <w:r>
        <w:rPr>
          <w:rFonts w:ascii="Times New Roman" w:hAnsi="Times New Roman" w:eastAsia="SimSun"/>
          <w:b w:val="0"/>
          <w:i w:val="0"/>
          <w:sz w:val="22"/>
        </w:rPr>
        <w:t>see [4]</w:t>
      </w:r>
      <w:r>
        <w:rPr>
          <w:rFonts w:ascii="Times New Roman" w:hAnsi="Times New Roman" w:eastAsia="SimSun"/>
          <w:b w:val="0"/>
          <w:i w:val="0"/>
          <w:sz w:val="22"/>
        </w:rPr>
        <w:t>. Put citation marks before commas and after full stops.</w:t>
      </w:r>
    </w:p>
    <w:p>
      <w:pPr/>
      <w:r>
        <w:rPr>
          <w:rFonts w:ascii="Times New Roman" w:hAnsi="Times New Roman" w:eastAsia="SimSun"/>
          <w:b w:val="0"/>
          <w:i w:val="0"/>
          <w:sz w:val="22"/>
        </w:rPr>
        <w:t>The examples cover a journal article ([1]), a book ([2]), a chapter ([3]), a dissertation ([4]), a Chinese article ([5]), a Chinese book ([6]), an online reference ([7]) and a classic monograph ([8]).</w:t>
      </w:r>
    </w:p>
    <w:p>
      <w:pPr/>
      <w:r>
        <w:rPr>
          <w:rFonts w:ascii="Times New Roman" w:hAnsi="Times New Roman" w:eastAsia="SimSun"/>
          <w:b w:val="0"/>
          <w:i w:val="0"/>
          <w:sz w:val="22"/>
        </w:rPr>
        <w:t>This is the second paragraph, with a footnote example.</w:t>
      </w:r>
      <w:r>
        <w:rPr>
          <w:rStyle w:val="FootnoteReference"/>
        </w:rPr>
        <w:footnoteReference w:id="2"/>
      </w:r>
    </w:p>
    <w:p>
      <w:pPr>
        <w:pStyle w:val="Heading1"/>
      </w:pPr>
      <w:r>
        <w:rPr>
          <w:rFonts w:ascii="Times New Roman" w:hAnsi="Times New Roman" w:eastAsia="Times New Roman"/>
          <w:b/>
          <w:i w:val="0"/>
          <w:sz w:val="24"/>
        </w:rPr>
        <w:t>2</w:t>
      </w:r>
      <w:r>
        <w:rPr>
          <w:rFonts w:ascii="Times New Roman" w:hAnsi="Times New Roman" w:eastAsia="Times New Roman"/>
          <w:b w:val="0"/>
          <w:i w:val="0"/>
          <w:sz w:val="24"/>
        </w:rPr>
        <w:t xml:space="preserve">　</w:t>
      </w:r>
      <w:r>
        <w:rPr>
          <w:rFonts w:ascii="Times New Roman" w:hAnsi="Times New Roman" w:eastAsia="Times New Roman"/>
          <w:b w:val="0"/>
          <w:i w:val="0"/>
          <w:sz w:val="24"/>
        </w:rPr>
        <w:t>Mathematical Formulas and Symbols</w:t>
      </w:r>
    </w:p>
    <w:p>
      <w:pPr>
        <w:pStyle w:val="Heading2"/>
      </w:pPr>
      <w:r>
        <w:rPr>
          <w:rFonts w:ascii="Times New Roman" w:hAnsi="Times New Roman" w:eastAsia="Times New Roman"/>
          <w:b/>
          <w:i w:val="0"/>
          <w:sz w:val="22"/>
        </w:rPr>
        <w:t>2.1</w:t>
      </w:r>
      <w:r>
        <w:rPr>
          <w:rFonts w:ascii="Times New Roman" w:hAnsi="Times New Roman" w:eastAsia="Times New Roman"/>
          <w:b w:val="0"/>
          <w:i w:val="0"/>
          <w:sz w:val="22"/>
        </w:rPr>
        <w:t xml:space="preserve">　</w:t>
      </w:r>
      <w:r>
        <w:rPr>
          <w:rFonts w:ascii="Times New Roman" w:hAnsi="Times New Roman" w:eastAsia="Times New Roman"/>
          <w:b w:val="0"/>
          <w:i w:val="0"/>
          <w:sz w:val="22"/>
        </w:rPr>
        <w:t>Inline Formulas and Symbols</w:t>
      </w:r>
    </w:p>
    <w:p>
      <w:pPr/>
      <w:r>
        <w:rPr>
          <w:rFonts w:ascii="Times New Roman" w:hAnsi="Times New Roman" w:eastAsia="SimSun"/>
          <w:b w:val="0"/>
          <w:i w:val="0"/>
          <w:sz w:val="22"/>
        </w:rPr>
        <w:t xml:space="preserve">Inline formula example: let </w:t>
      </w:r>
      <m:oMath>
        <m:sSup>
          <m:e>
            <m:r>
              <m:rPr>
                <m:sty m:val="p"/>
              </m:rPr>
              <m:t xml:space="preserve">x</m:t>
            </m:r>
          </m:e>
          <m:sup>
            <m:r>
              <m:rPr>
                <m:sty m:val="p"/>
              </m:rPr>
              <m:t xml:space="preserve">2</m:t>
            </m:r>
          </m:sup>
        </m:sSup>
        <m:r>
          <m:rPr>
            <m:sty m:val="p"/>
          </m:rPr>
          <m:t xml:space="preserve">+</m:t>
        </m:r>
        <m:sSup>
          <m:e>
            <m:r>
              <m:rPr>
                <m:sty m:val="p"/>
              </m:rPr>
              <m:t xml:space="preserve">y</m:t>
            </m:r>
          </m:e>
          <m:sup>
            <m:r>
              <m:rPr>
                <m:sty m:val="p"/>
              </m:rPr>
              <m:t xml:space="preserve">2</m:t>
            </m:r>
          </m:sup>
        </m:sSup>
        <m:r>
          <m:rPr>
            <m:sty m:val="p"/>
          </m:rPr>
          <m:t xml:space="preserve">=</m:t>
        </m:r>
        <m:sSup>
          <m:e>
            <m:r>
              <m:rPr>
                <m:sty m:val="p"/>
              </m:rPr>
              <m:t xml:space="preserve">r</m:t>
            </m:r>
          </m:e>
          <m:sup>
            <m:r>
              <m:rPr>
                <m:sty m:val="p"/>
              </m:rPr>
              <m:t xml:space="preserve">2</m:t>
            </m:r>
          </m:sup>
        </m:sSup>
      </m:oMath>
      <w:r>
        <w:rPr>
          <w:rFonts w:ascii="Times New Roman" w:hAnsi="Times New Roman" w:eastAsia="SimSun"/>
          <w:b w:val="0"/>
          <w:i w:val="0"/>
          <w:sz w:val="22"/>
        </w:rPr>
        <w:t xml:space="preserve"> be the equation of a circle, and let </w:t>
      </w:r>
      <m:oMath>
        <m:r>
          <m:rPr>
            <m:sty m:val="p"/>
          </m:rPr>
          <m:t xml:space="preserve">f(x)=</m:t>
        </m:r>
        <m:f>
          <m:num>
            <m:r>
              <m:rPr>
                <m:sty m:val="p"/>
              </m:rPr>
              <m:t xml:space="preserve">1</m:t>
            </m:r>
          </m:num>
          <m:den>
            <m:r>
              <m:rPr>
                <m:sty m:val="p"/>
              </m:rPr>
              <m:t xml:space="preserve">1+</m:t>
            </m:r>
            <m:sSup>
              <m:e>
                <m:r>
                  <m:rPr>
                    <m:sty m:val="p"/>
                  </m:rPr>
                  <m:t xml:space="preserve">e</m:t>
                </m:r>
              </m:e>
              <m:sup>
                <m:r>
                  <m:rPr>
                    <m:sty m:val="p"/>
                  </m:rPr>
                  <m:t xml:space="preserve">−x</m:t>
                </m:r>
              </m:sup>
            </m:sSup>
          </m:den>
        </m:f>
      </m:oMath>
      <w:r>
        <w:rPr>
          <w:rFonts w:ascii="Times New Roman" w:hAnsi="Times New Roman" w:eastAsia="SimSun"/>
          <w:b w:val="0"/>
          <w:i w:val="0"/>
          <w:sz w:val="22"/>
        </w:rPr>
        <w:t xml:space="preserve"> be continuous on the real line.</w:t>
      </w:r>
    </w:p>
    <w:p>
      <w:pPr/>
      <w:r>
        <w:rPr>
          <w:rFonts w:ascii="Times New Roman" w:hAnsi="Times New Roman" w:eastAsia="SimSun"/>
          <w:b w:val="0"/>
          <w:i w:val="0"/>
          <w:sz w:val="22"/>
        </w:rPr>
        <w:t>Logic symbols (type the Unicode characters directly; do not use symbol fonts): ¬, ∧, ∨, →, ↔, ∀, ∃, ⊢, ⊨, □, ◇, ∈, ⊆.</w:t>
      </w:r>
    </w:p>
    <w:p>
      <w:pPr>
        <w:pStyle w:val="Heading2"/>
      </w:pPr>
      <w:r>
        <w:rPr>
          <w:rFonts w:ascii="Times New Roman" w:hAnsi="Times New Roman" w:eastAsia="Times New Roman"/>
          <w:b/>
          <w:i w:val="0"/>
          <w:sz w:val="22"/>
        </w:rPr>
        <w:t>2.2</w:t>
      </w:r>
      <w:r>
        <w:rPr>
          <w:rFonts w:ascii="Times New Roman" w:hAnsi="Times New Roman" w:eastAsia="Times New Roman"/>
          <w:b w:val="0"/>
          <w:i w:val="0"/>
          <w:sz w:val="22"/>
        </w:rPr>
        <w:t xml:space="preserve">　</w:t>
      </w:r>
      <w:r>
        <w:rPr>
          <w:rFonts w:ascii="Times New Roman" w:hAnsi="Times New Roman" w:eastAsia="Times New Roman"/>
          <w:b w:val="0"/>
          <w:i w:val="0"/>
          <w:sz w:val="22"/>
        </w:rPr>
        <w:t>Display Formulas</w:t>
      </w:r>
    </w:p>
    <w:p>
      <w:pPr>
        <w:spacing w:before="120" w:after="120" w:line="240" w:lineRule="auto"/>
        <w:ind w:firstLine="0"/>
        <w:jc w:val="center"/>
      </w:pPr>
      <m:oMathPara>
        <m:oMath>
          <m:r>
            <m:rPr>
              <m:sty m:val="p"/>
            </m:rPr>
            <m:t xml:space="preserve">f(x)=</m:t>
          </m:r>
          <m:f>
            <m:num>
              <m:r>
                <m:rPr>
                  <m:sty m:val="p"/>
                </m:rPr>
                <m:t xml:space="preserve">1</m:t>
              </m:r>
            </m:num>
            <m:den>
              <m:r>
                <m:rPr>
                  <m:sty m:val="p"/>
                </m:rPr>
                <m:t xml:space="preserve">1+</m:t>
              </m:r>
              <m:sSup>
                <m:e>
                  <m:r>
                    <m:rPr>
                      <m:sty m:val="p"/>
                    </m:rPr>
                    <m:t xml:space="preserve">e</m:t>
                  </m:r>
                </m:e>
                <m:sup>
                  <m:r>
                    <m:rPr>
                      <m:sty m:val="p"/>
                    </m:rPr>
                    <m:t xml:space="preserve">−x</m:t>
                  </m:r>
                </m:sup>
              </m:sSup>
            </m:den>
          </m:f>
        </m:oMath>
      </m:oMathPara>
    </w:p>
    <w:p>
      <w:pPr>
        <w:spacing w:before="120" w:after="120" w:line="240" w:lineRule="auto"/>
        <w:ind w:firstLine="0"/>
        <w:jc w:val="center"/>
      </w:pPr>
      <m:oMathPara>
        <m:oMath>
          <m:sSup>
            <m:e>
              <m:r>
                <m:rPr>
                  <m:sty m:val="p"/>
                </m:rPr>
                <m:t xml:space="preserve">(a+b)</m:t>
              </m:r>
            </m:e>
            <m:sup>
              <m:r>
                <m:rPr>
                  <m:sty m:val="p"/>
                </m:rPr>
                <m:t xml:space="preserve">2</m:t>
              </m:r>
            </m:sup>
          </m:sSup>
          <m:r>
            <m:rPr>
              <m:sty m:val="p"/>
            </m:rPr>
            <m:t xml:space="preserve">=</m:t>
          </m:r>
          <m:sSup>
            <m:e>
              <m:r>
                <m:rPr>
                  <m:sty m:val="p"/>
                </m:rPr>
                <m:t xml:space="preserve">a</m:t>
              </m:r>
            </m:e>
            <m:sup>
              <m:r>
                <m:rPr>
                  <m:sty m:val="p"/>
                </m:rPr>
                <m:t xml:space="preserve">2</m:t>
              </m:r>
            </m:sup>
          </m:sSup>
          <m:r>
            <m:rPr>
              <m:sty m:val="p"/>
            </m:rPr>
            <m:t xml:space="preserve">+2ab+</m:t>
          </m:r>
          <m:sSup>
            <m:e>
              <m:r>
                <m:rPr>
                  <m:sty m:val="p"/>
                </m:rPr>
                <m:t xml:space="preserve">b</m:t>
              </m:r>
            </m:e>
            <m:sup>
              <m:r>
                <m:rPr>
                  <m:sty m:val="p"/>
                </m:rPr>
                <m:t xml:space="preserve">2</m:t>
              </m:r>
            </m:sup>
          </m:sSup>
        </m:oMath>
      </m:oMathPara>
    </w:p>
    <w:p>
      <w:pPr>
        <w:spacing w:before="120" w:after="120" w:line="240" w:lineRule="auto"/>
        <w:ind w:firstLine="0"/>
        <w:jc w:val="center"/>
      </w:pPr>
      <m:oMathPara>
        <m:oMath>
          <m:sSup>
            <m:e>
              <m:r>
                <m:rPr>
                  <m:sty m:val="p"/>
                </m:rPr>
                <m:t xml:space="preserve">α</m:t>
              </m:r>
            </m:e>
            <m:sup>
              <m:r>
                <m:rPr>
                  <m:sty m:val="p"/>
                </m:rPr>
                <m:t xml:space="preserve">2</m:t>
              </m:r>
            </m:sup>
          </m:sSup>
          <m:r>
            <m:rPr>
              <m:sty m:val="p"/>
            </m:rPr>
            <m:t xml:space="preserve">+</m:t>
          </m:r>
          <m:sSup>
            <m:e>
              <m:r>
                <m:rPr>
                  <m:sty m:val="p"/>
                </m:rPr>
                <m:t xml:space="preserve">β</m:t>
              </m:r>
            </m:e>
            <m:sup>
              <m:r>
                <m:rPr>
                  <m:sty m:val="p"/>
                </m:rPr>
                <m:t xml:space="preserve">2</m:t>
              </m:r>
            </m:sup>
          </m:sSup>
          <m:r>
            <m:rPr>
              <m:sty m:val="p"/>
            </m:rPr>
            <m:t xml:space="preserve">≥2αβ</m:t>
          </m:r>
        </m:oMath>
      </m:oMathPara>
    </w:p>
    <w:p>
      <w:pPr>
        <w:spacing w:before="120" w:after="120" w:line="240" w:lineRule="auto"/>
        <w:ind w:firstLine="0"/>
        <w:jc w:val="center"/>
      </w:pPr>
      <m:oMathPara>
        <m:oMath>
          <m:nary>
            <m:naryPr>
              <m:chr m:val="∑"/>
              <m:limLoc m:val="undOvr"/>
              <m:subHide m:val="0"/>
              <m:supHide m:val="0"/>
            </m:naryPr>
            <m:sub>
              <m:r>
                <m:rPr>
                  <m:sty m:val="p"/>
                </m:rPr>
                <m:t xml:space="preserve">i=1</m:t>
              </m:r>
            </m:sub>
            <m:sup>
              <m:r>
                <m:rPr>
                  <m:sty m:val="p"/>
                </m:rPr>
                <m:t xml:space="preserve">n</m:t>
              </m:r>
            </m:sup>
            <m:e>
              <m:r>
                <m:rPr>
                  <m:sty m:val="p"/>
                </m:rPr>
                <m:t xml:space="preserve">i</m:t>
              </m:r>
            </m:e>
          </m:nary>
          <m:r>
            <m:rPr>
              <m:sty m:val="p"/>
            </m:rPr>
            <m:t xml:space="preserve">=</m:t>
          </m:r>
          <m:f>
            <m:num>
              <m:r>
                <m:rPr>
                  <m:sty m:val="p"/>
                </m:rPr>
                <m:t xml:space="preserve">n(n+1)</m:t>
              </m:r>
            </m:num>
            <m:den>
              <m:r>
                <m:rPr>
                  <m:sty m:val="p"/>
                </m:rPr>
                <m:t xml:space="preserve">2</m:t>
              </m:r>
            </m:den>
          </m:f>
        </m:oMath>
      </m:oMathPara>
    </w:p>
    <w:p>
      <w:pPr>
        <w:pStyle w:val="Heading1"/>
      </w:pPr>
      <w:r>
        <w:rPr>
          <w:rFonts w:ascii="Times New Roman" w:hAnsi="Times New Roman" w:eastAsia="Times New Roman"/>
          <w:b/>
          <w:i w:val="0"/>
          <w:sz w:val="24"/>
        </w:rPr>
        <w:t>3</w:t>
      </w:r>
      <w:r>
        <w:rPr>
          <w:rFonts w:ascii="Times New Roman" w:hAnsi="Times New Roman" w:eastAsia="Times New Roman"/>
          <w:b w:val="0"/>
          <w:i w:val="0"/>
          <w:sz w:val="24"/>
        </w:rPr>
        <w:t xml:space="preserve">　</w:t>
      </w:r>
      <w:r>
        <w:rPr>
          <w:rFonts w:ascii="Times New Roman" w:hAnsi="Times New Roman" w:eastAsia="Times New Roman"/>
          <w:b w:val="0"/>
          <w:i w:val="0"/>
          <w:sz w:val="24"/>
        </w:rPr>
        <w:t>Theorems and Proofs</w:t>
      </w:r>
    </w:p>
    <w:p>
      <w:pPr>
        <w:ind w:firstLine="420"/>
      </w:pPr>
      <w:r>
        <w:rPr>
          <w:rFonts w:ascii="Times New Roman" w:hAnsi="Times New Roman" w:eastAsia="SimHei"/>
          <w:b w:val="0"/>
          <w:i w:val="0"/>
          <w:sz w:val="21"/>
        </w:rPr>
        <w:t>Theorem 1</w:t>
      </w:r>
      <w:r>
        <w:rPr>
          <w:rFonts w:ascii="Times New Roman" w:hAnsi="Times New Roman" w:eastAsia="Times New Roman"/>
          <w:b w:val="0"/>
          <w:i w:val="0"/>
          <w:sz w:val="21"/>
        </w:rPr>
        <w:t xml:space="preserve">　If the assumptions hold, then the conclusion holds.</w:t>
      </w:r>
    </w:p>
    <w:p>
      <w:pPr>
        <w:ind w:firstLine="420"/>
      </w:pPr>
      <w:r>
        <w:rPr>
          <w:rFonts w:ascii="Times New Roman" w:hAnsi="Times New Roman" w:eastAsia="SimHei"/>
          <w:b w:val="0"/>
          <w:i w:val="0"/>
          <w:sz w:val="21"/>
        </w:rPr>
        <w:t>Lemma 1</w:t>
      </w:r>
      <w:r>
        <w:rPr>
          <w:rFonts w:ascii="Times New Roman" w:hAnsi="Times New Roman" w:eastAsia="Times New Roman"/>
          <w:b w:val="0"/>
          <w:i w:val="0"/>
          <w:sz w:val="21"/>
        </w:rPr>
        <w:t xml:space="preserve">　The auxiliary claim follows directly from the definition.</w:t>
      </w:r>
    </w:p>
    <w:p>
      <w:pPr>
        <w:ind w:firstLine="420"/>
      </w:pPr>
      <w:r>
        <w:rPr>
          <w:rFonts w:ascii="Times New Roman" w:hAnsi="Times New Roman" w:eastAsia="SimHei"/>
          <w:b w:val="0"/>
          <w:i w:val="0"/>
          <w:sz w:val="21"/>
        </w:rPr>
        <w:t>Definition 1</w:t>
      </w:r>
      <w:r>
        <w:rPr>
          <w:rFonts w:ascii="Times New Roman" w:hAnsi="Times New Roman" w:eastAsia="Times New Roman"/>
          <w:b w:val="0"/>
          <w:i w:val="0"/>
          <w:sz w:val="21"/>
        </w:rPr>
        <w:t xml:space="preserve">　An object satisfying the given conditions is called an object of the relevant kind.</w:t>
      </w:r>
    </w:p>
    <w:p>
      <w:pPr/>
      <w:r>
        <w:rPr>
          <w:rFonts w:ascii="Times New Roman" w:hAnsi="Times New Roman" w:eastAsia="Times New Roman"/>
          <w:b/>
          <w:i w:val="0"/>
          <w:sz w:val="22"/>
        </w:rPr>
        <w:t>Proof.</w:t>
      </w:r>
      <w:r>
        <w:rPr>
          <w:rFonts w:ascii="Times New Roman" w:hAnsi="Times New Roman" w:eastAsia="Times New Roman"/>
          <w:b w:val="0"/>
          <w:i w:val="0"/>
          <w:sz w:val="22"/>
        </w:rPr>
        <w:t xml:space="preserve">　It follows directly from Theorem 1.　□</w:t>
      </w:r>
    </w:p>
    <w:p>
      <w:pPr>
        <w:pStyle w:val="Heading1"/>
      </w:pPr>
      <w:r>
        <w:rPr>
          <w:rFonts w:ascii="Times New Roman" w:hAnsi="Times New Roman" w:eastAsia="Times New Roman"/>
          <w:b/>
          <w:i w:val="0"/>
          <w:sz w:val="24"/>
        </w:rPr>
        <w:t>4</w:t>
      </w:r>
      <w:r>
        <w:rPr>
          <w:rFonts w:ascii="Times New Roman" w:hAnsi="Times New Roman" w:eastAsia="Times New Roman"/>
          <w:b w:val="0"/>
          <w:i w:val="0"/>
          <w:sz w:val="24"/>
        </w:rPr>
        <w:t xml:space="preserve">　</w:t>
      </w:r>
      <w:r>
        <w:rPr>
          <w:rFonts w:ascii="Times New Roman" w:hAnsi="Times New Roman" w:eastAsia="Times New Roman"/>
          <w:b w:val="0"/>
          <w:i w:val="0"/>
          <w:sz w:val="24"/>
        </w:rPr>
        <w:t>Figures and Tables</w:t>
      </w:r>
    </w:p>
    <w:p>
      <w:pPr>
        <w:spacing w:before="200" w:after="40" w:line="276" w:lineRule="exact"/>
        <w:ind w:firstLine="0"/>
        <w:jc w:val="center"/>
      </w:pPr>
      <w:r>
        <w:rPr>
          <w:rFonts w:ascii="Times New Roman" w:hAnsi="Times New Roman" w:eastAsia="SimSun"/>
          <w:b w:val="0"/>
          <w:i w:val="0"/>
          <w:sz w:val="18"/>
        </w:rPr>
        <w:t>(Insert figure here: a separate paragraph, PNG/JPG; please also supply a vector source such as PDF/PPT)</w:t>
      </w:r>
    </w:p>
    <w:p>
      <w:pPr>
        <w:pStyle w:val="Caption"/>
      </w:pPr>
      <w:r>
        <w:rPr>
          <w:rFonts w:ascii="Times New Roman" w:hAnsi="Times New Roman" w:eastAsia="SimSun"/>
          <w:b w:val="0"/>
          <w:i w:val="0"/>
          <w:sz w:val="21"/>
        </w:rPr>
        <w:t>Figure 1: Figure caption example.</w:t>
      </w:r>
    </w:p>
    <w:p>
      <w:pPr>
        <w:pStyle w:val="Caption"/>
        <w:keepNext/>
      </w:pPr>
      <w:r>
        <w:rPr>
          <w:rFonts w:ascii="Times New Roman" w:hAnsi="Times New Roman" w:eastAsia="SimSun"/>
          <w:b w:val="0"/>
          <w:i w:val="0"/>
          <w:sz w:val="22"/>
        </w:rPr>
        <w:t>Table 1: Table caption example.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551"/>
        <w:gridCol w:w="3118"/>
      </w:tblGrid>
      <w:tr>
        <w:tc>
          <w:tcPr>
            <w:tcW w:type="dxa" w:w="2551"/>
            <w:tcBorders>
              <w:bottom w:val="single" w:sz="6" w:space="0" w:color="000000"/>
            </w:tcBorders>
          </w:tcPr>
          <w:p>
            <w:pPr>
              <w:spacing w:before="30" w:after="30" w:line="273" w:lineRule="exact"/>
              <w:ind w:firstLine="0"/>
              <w:jc w:val="center"/>
            </w:pPr>
            <w:r>
              <w:rPr>
                <w:rFonts w:ascii="Times New Roman" w:hAnsi="Times New Roman" w:eastAsia="SimHei"/>
                <w:b w:val="0"/>
                <w:i w:val="0"/>
                <w:sz w:val="21"/>
              </w:rPr>
              <w:t>Item</w:t>
            </w:r>
          </w:p>
        </w:tc>
        <w:tc>
          <w:tcPr>
            <w:tcW w:type="dxa" w:w="3118"/>
            <w:tcBorders>
              <w:bottom w:val="single" w:sz="6" w:space="0" w:color="000000"/>
            </w:tcBorders>
          </w:tcPr>
          <w:p>
            <w:pPr>
              <w:spacing w:before="30" w:after="30" w:line="273" w:lineRule="exact"/>
              <w:ind w:firstLine="0"/>
              <w:jc w:val="center"/>
            </w:pPr>
            <w:r>
              <w:rPr>
                <w:rFonts w:ascii="Times New Roman" w:hAnsi="Times New Roman" w:eastAsia="SimHei"/>
                <w:b w:val="0"/>
                <w:i w:val="0"/>
                <w:sz w:val="21"/>
              </w:rPr>
              <w:t>Content</w:t>
            </w:r>
          </w:p>
        </w:tc>
      </w:tr>
      <w:tr>
        <w:tc>
          <w:tcPr>
            <w:tcW w:type="dxa" w:w="2551"/>
          </w:tcPr>
          <w:p>
            <w:pPr>
              <w:spacing w:before="30" w:after="30" w:line="273" w:lineRule="exact"/>
              <w:ind w:firstLine="0"/>
              <w:jc w:val="center"/>
            </w:pPr>
            <w:r>
              <w:rPr>
                <w:rFonts w:ascii="Times New Roman" w:hAnsi="Times New Roman" w:eastAsia="SimSun"/>
                <w:b w:val="0"/>
                <w:i w:val="0"/>
                <w:sz w:val="21"/>
              </w:rPr>
              <w:t>Example 1</w:t>
            </w:r>
          </w:p>
        </w:tc>
        <w:tc>
          <w:tcPr>
            <w:tcW w:type="dxa" w:w="3118"/>
          </w:tcPr>
          <w:p>
            <w:pPr>
              <w:spacing w:before="30" w:after="30" w:line="273" w:lineRule="exact"/>
              <w:ind w:firstLine="0"/>
              <w:jc w:val="center"/>
            </w:pPr>
            <w:r>
              <w:rPr>
                <w:rFonts w:ascii="Times New Roman" w:hAnsi="Times New Roman" w:eastAsia="SimSun"/>
                <w:b w:val="0"/>
                <w:i w:val="0"/>
                <w:sz w:val="21"/>
              </w:rPr>
              <w:t>……</w:t>
            </w:r>
          </w:p>
        </w:tc>
      </w:tr>
      <w:tr>
        <w:tc>
          <w:tcPr>
            <w:tcW w:type="dxa" w:w="2551"/>
          </w:tcPr>
          <w:p>
            <w:pPr>
              <w:spacing w:before="30" w:after="30" w:line="273" w:lineRule="exact"/>
              <w:ind w:firstLine="0"/>
              <w:jc w:val="center"/>
            </w:pPr>
            <w:r>
              <w:rPr>
                <w:rFonts w:ascii="Times New Roman" w:hAnsi="Times New Roman" w:eastAsia="SimSun"/>
                <w:b w:val="0"/>
                <w:i w:val="0"/>
                <w:sz w:val="21"/>
              </w:rPr>
              <w:t>Example 2</w:t>
            </w:r>
          </w:p>
        </w:tc>
        <w:tc>
          <w:tcPr>
            <w:tcW w:type="dxa" w:w="3118"/>
          </w:tcPr>
          <w:p>
            <w:pPr>
              <w:spacing w:before="30" w:after="30" w:line="273" w:lineRule="exact"/>
              <w:ind w:firstLine="0"/>
              <w:jc w:val="center"/>
            </w:pPr>
            <w:r>
              <w:rPr>
                <w:rFonts w:ascii="Times New Roman" w:hAnsi="Times New Roman" w:eastAsia="SimSun"/>
                <w:b w:val="0"/>
                <w:i w:val="0"/>
                <w:sz w:val="21"/>
              </w:rPr>
              <w:t>……</w:t>
            </w:r>
          </w:p>
        </w:tc>
      </w:tr>
    </w:tbl>
    <w:p>
      <w:pPr>
        <w:spacing w:before="80" w:after="120" w:line="276" w:lineRule="exact"/>
        <w:ind w:firstLine="0"/>
      </w:pPr>
      <w:r>
        <w:rPr>
          <w:rFonts w:ascii="Times New Roman" w:hAnsi="Times New Roman" w:eastAsia="SimSun"/>
          <w:b w:val="0"/>
          <w:i w:val="0"/>
          <w:sz w:val="18"/>
        </w:rPr>
        <w:t>Note: table notes go in a body paragraph below the table; do not put footnotes inside table cells (table footnotes are dropped on conversion).</w:t>
      </w:r>
    </w:p>
    <w:p>
      <w:pPr>
        <w:pStyle w:val="Heading1"/>
      </w:pPr>
      <w:r>
        <w:rPr>
          <w:rFonts w:ascii="Times New Roman" w:hAnsi="Times New Roman" w:eastAsia="Times New Roman"/>
          <w:b/>
          <w:i w:val="0"/>
          <w:sz w:val="24"/>
        </w:rPr>
        <w:t>5</w:t>
      </w:r>
      <w:r>
        <w:rPr>
          <w:rFonts w:ascii="Times New Roman" w:hAnsi="Times New Roman" w:eastAsia="Times New Roman"/>
          <w:b w:val="0"/>
          <w:i w:val="0"/>
          <w:sz w:val="24"/>
        </w:rPr>
        <w:t xml:space="preserve">　</w:t>
      </w:r>
      <w:r>
        <w:rPr>
          <w:rFonts w:ascii="Times New Roman" w:hAnsi="Times New Roman" w:eastAsia="Times New Roman"/>
          <w:b w:val="0"/>
          <w:i w:val="0"/>
          <w:sz w:val="24"/>
        </w:rPr>
        <w:t>Language and Formatting</w:t>
      </w:r>
    </w:p>
    <w:p>
      <w:pPr>
        <w:pStyle w:val="Heading2"/>
      </w:pPr>
      <w:r>
        <w:rPr>
          <w:rFonts w:ascii="Times New Roman" w:hAnsi="Times New Roman" w:eastAsia="Times New Roman"/>
          <w:b/>
          <w:i w:val="0"/>
          <w:sz w:val="22"/>
        </w:rPr>
        <w:t>5.1</w:t>
      </w:r>
      <w:r>
        <w:rPr>
          <w:rFonts w:ascii="Times New Roman" w:hAnsi="Times New Roman" w:eastAsia="Times New Roman"/>
          <w:b w:val="0"/>
          <w:i w:val="0"/>
          <w:sz w:val="22"/>
        </w:rPr>
        <w:t xml:space="preserve">　</w:t>
      </w:r>
      <w:r>
        <w:rPr>
          <w:rFonts w:ascii="Times New Roman" w:hAnsi="Times New Roman" w:eastAsia="Times New Roman"/>
          <w:b w:val="0"/>
          <w:i w:val="0"/>
          <w:sz w:val="22"/>
        </w:rPr>
        <w:t>Punctuation, Numbers and Dashes</w:t>
      </w:r>
    </w:p>
    <w:p>
      <w:pPr/>
      <w:r>
        <w:rPr>
          <w:rFonts w:ascii="Times New Roman" w:hAnsi="Times New Roman" w:eastAsia="SimSun"/>
          <w:b w:val="0"/>
          <w:i w:val="0"/>
          <w:sz w:val="22"/>
        </w:rPr>
        <w:t>Use half-width punctuation for English and numbers, with a space after it; years are written as 2024, dates as 2024-10-24. Dashes are not interchangeable: a hyphen (-) for numbers, dates and letter series (Table 2-9, 2022-10-08, A-level); an en dash (–) for page ranges (pp. 8–12); an em dash (—) for ranges such as Beijing—Shanghai.</w:t>
      </w:r>
    </w:p>
    <w:p>
      <w:pPr>
        <w:pStyle w:val="Heading2"/>
      </w:pPr>
      <w:r>
        <w:rPr>
          <w:rFonts w:ascii="Times New Roman" w:hAnsi="Times New Roman" w:eastAsia="Times New Roman"/>
          <w:b/>
          <w:i w:val="0"/>
          <w:sz w:val="22"/>
        </w:rPr>
        <w:t>5.2</w:t>
      </w:r>
      <w:r>
        <w:rPr>
          <w:rFonts w:ascii="Times New Roman" w:hAnsi="Times New Roman" w:eastAsia="Times New Roman"/>
          <w:b w:val="0"/>
          <w:i w:val="0"/>
          <w:sz w:val="22"/>
        </w:rPr>
        <w:t xml:space="preserve">　</w:t>
      </w:r>
      <w:r>
        <w:rPr>
          <w:rFonts w:ascii="Times New Roman" w:hAnsi="Times New Roman" w:eastAsia="Times New Roman"/>
          <w:b w:val="0"/>
          <w:i w:val="0"/>
          <w:sz w:val="22"/>
        </w:rPr>
        <w:t>English Usage</w:t>
      </w:r>
    </w:p>
    <w:p>
      <w:pPr/>
      <w:r>
        <w:rPr>
          <w:rFonts w:ascii="Times New Roman" w:hAnsi="Times New Roman" w:eastAsia="SimSun"/>
          <w:b w:val="0"/>
          <w:i w:val="0"/>
          <w:sz w:val="22"/>
        </w:rPr>
        <w:t>English quotations are set as separate paragraphs without quotation marks; major section titles capitalise every major word, subsections are in sentence case; the spacing in et al. and p. 8–12 is reduced by the typesetter; use an em dash for English dashes.</w:t>
      </w:r>
    </w:p>
    <w:p>
      <w:pPr>
        <w:pStyle w:val="Heading1"/>
      </w:pPr>
      <w:r>
        <w:rPr>
          <w:rFonts w:ascii="Times New Roman" w:hAnsi="Times New Roman" w:eastAsia="Times New Roman"/>
          <w:b/>
          <w:i w:val="0"/>
          <w:sz w:val="24"/>
        </w:rPr>
        <w:t>6</w:t>
      </w:r>
      <w:r>
        <w:rPr>
          <w:rFonts w:ascii="Times New Roman" w:hAnsi="Times New Roman" w:eastAsia="Times New Roman"/>
          <w:b w:val="0"/>
          <w:i w:val="0"/>
          <w:sz w:val="24"/>
        </w:rPr>
        <w:t xml:space="preserve">　</w:t>
      </w:r>
      <w:r>
        <w:rPr>
          <w:rFonts w:ascii="Times New Roman" w:hAnsi="Times New Roman" w:eastAsia="Times New Roman"/>
          <w:b w:val="0"/>
          <w:i w:val="0"/>
          <w:sz w:val="24"/>
        </w:rPr>
        <w:t>Quotations and Footnotes</w:t>
      </w:r>
    </w:p>
    <w:p>
      <w:pPr>
        <w:pStyle w:val="Heading2"/>
      </w:pPr>
      <w:r>
        <w:rPr>
          <w:rFonts w:ascii="Times New Roman" w:hAnsi="Times New Roman" w:eastAsia="Times New Roman"/>
          <w:b/>
          <w:i w:val="0"/>
          <w:sz w:val="22"/>
        </w:rPr>
        <w:t>6.1</w:t>
      </w:r>
      <w:r>
        <w:rPr>
          <w:rFonts w:ascii="Times New Roman" w:hAnsi="Times New Roman" w:eastAsia="Times New Roman"/>
          <w:b w:val="0"/>
          <w:i w:val="0"/>
          <w:sz w:val="22"/>
        </w:rPr>
        <w:t xml:space="preserve">　</w:t>
      </w:r>
      <w:r>
        <w:rPr>
          <w:rFonts w:ascii="Times New Roman" w:hAnsi="Times New Roman" w:eastAsia="Times New Roman"/>
          <w:b w:val="0"/>
          <w:i w:val="0"/>
          <w:sz w:val="22"/>
        </w:rPr>
        <w:t>Quotations</w:t>
      </w:r>
    </w:p>
    <w:p>
      <w:pPr>
        <w:spacing w:before="120" w:after="120" w:line="302" w:lineRule="exact"/>
        <w:ind w:leftChars="200" w:left="420" w:rightChars="200" w:right="420" w:firstLineChars="200" w:firstLine="420"/>
      </w:pPr>
      <w:r>
        <w:rPr>
          <w:rFonts w:ascii="Times New Roman" w:hAnsi="Times New Roman" w:eastAsia="SimSun"/>
          <w:b w:val="0"/>
          <w:i w:val="0"/>
          <w:sz w:val="22"/>
        </w:rPr>
        <w:t>Long quotations are set as separate paragraphs without quotation marks, with appropriate spacing from the body text; this applies to both Chinese and English quotations and corresponds to the quotation environment of the LaTeX template. The converter recognises long quotations by length, so keep them as separate paragraphs and do not mix footnotes into a quotation paragraph.</w:t>
      </w:r>
    </w:p>
    <w:p>
      <w:pPr>
        <w:pStyle w:val="Heading2"/>
      </w:pPr>
      <w:r>
        <w:rPr>
          <w:rFonts w:ascii="Times New Roman" w:hAnsi="Times New Roman" w:eastAsia="Times New Roman"/>
          <w:b/>
          <w:i w:val="0"/>
          <w:sz w:val="22"/>
        </w:rPr>
        <w:t>6.2</w:t>
      </w:r>
      <w:r>
        <w:rPr>
          <w:rFonts w:ascii="Times New Roman" w:hAnsi="Times New Roman" w:eastAsia="Times New Roman"/>
          <w:b w:val="0"/>
          <w:i w:val="0"/>
          <w:sz w:val="22"/>
        </w:rPr>
        <w:t xml:space="preserve">　</w:t>
      </w:r>
      <w:r>
        <w:rPr>
          <w:rFonts w:ascii="Times New Roman" w:hAnsi="Times New Roman" w:eastAsia="Times New Roman"/>
          <w:b w:val="0"/>
          <w:i w:val="0"/>
          <w:sz w:val="22"/>
        </w:rPr>
        <w:t>Footnotes</w:t>
      </w:r>
    </w:p>
    <w:p>
      <w:pPr/>
      <w:r>
        <w:rPr>
          <w:rFonts w:ascii="Times New Roman" w:hAnsi="Times New Roman" w:eastAsia="SimSun"/>
          <w:b w:val="0"/>
          <w:i w:val="0"/>
          <w:sz w:val="22"/>
        </w:rPr>
        <w:t>A footnote mark goes before a comma and after a full stop, and the footnote ends with a full stop; when one sentence has two footnotes corresponding to different parts, both go before the punctuation. Footnotes inside a table are dropped on conversion: put table notes in a body paragraph below the table (for example "Note: ...") instead of inside cells.</w:t>
      </w:r>
    </w:p>
    <w:p>
      <w:pPr/>
      <w:r>
        <w:rPr>
          <w:rFonts w:ascii="Times New Roman" w:hAnsi="Times New Roman" w:eastAsia="SimSun"/>
          <w:b w:val="0"/>
          <w:i w:val="0"/>
          <w:sz w:val="22"/>
        </w:rPr>
        <w:t>Zhang says it snowed in Shanghai</w:t>
      </w:r>
      <w:r>
        <w:rPr>
          <w:rStyle w:val="FootnoteReference"/>
        </w:rPr>
        <w:footnoteReference w:id="3"/>
      </w:r>
      <w:r>
        <w:rPr>
          <w:rFonts w:ascii="Times New Roman" w:hAnsi="Times New Roman" w:eastAsia="SimSun"/>
          <w:b w:val="0"/>
          <w:i w:val="0"/>
          <w:sz w:val="22"/>
        </w:rPr>
        <w:t>, while Li says the bread was delicious</w:t>
      </w:r>
      <w:r>
        <w:rPr>
          <w:rStyle w:val="FootnoteReference"/>
        </w:rPr>
        <w:footnoteReference w:id="4"/>
      </w:r>
      <w:r>
        <w:rPr>
          <w:rFonts w:ascii="Times New Roman" w:hAnsi="Times New Roman" w:eastAsia="SimSun"/>
          <w:b w:val="0"/>
          <w:i w:val="0"/>
          <w:sz w:val="22"/>
        </w:rPr>
        <w:t>.</w:t>
      </w:r>
    </w:p>
    <w:p>
      <w:pPr>
        <w:keepNext/>
        <w:spacing w:before="320" w:after="214" w:line="302" w:lineRule="exact"/>
        <w:ind w:firstLine="0"/>
        <w:jc w:val="left"/>
      </w:pPr>
      <w:r>
        <w:rPr>
          <w:rFonts w:ascii="Times New Roman" w:hAnsi="Times New Roman" w:eastAsia="SimSun"/>
          <w:b/>
          <w:i w:val="0"/>
          <w:sz w:val="24"/>
        </w:rPr>
        <w:t>References</w:t>
      </w:r>
    </w:p>
    <w:p>
      <w:pPr>
        <w:spacing w:before="0" w:after="45" w:line="252" w:lineRule="exact"/>
        <w:ind w:left="450" w:leftChars="0" w:hanging="450"/>
        <w:jc w:val="left"/>
      </w:pPr>
      <w:r>
        <w:rPr>
          <w:rFonts w:ascii="Times New Roman" w:hAnsi="Times New Roman" w:eastAsia="SimSun"/>
          <w:b w:val="0"/>
          <w:i w:val="0"/>
          <w:sz w:val="20"/>
        </w:rPr>
        <w:t>[1] P. Benacerraf, 1981, “Frege: The last logicist”, Midwest Studies in Philosophy, 6(1): 17–35.</w:t>
      </w:r>
    </w:p>
    <w:p>
      <w:pPr>
        <w:spacing w:before="0" w:after="45" w:line="252" w:lineRule="exact"/>
        <w:ind w:left="450" w:leftChars="0" w:hanging="450"/>
        <w:jc w:val="left"/>
      </w:pPr>
      <w:r>
        <w:rPr>
          <w:rFonts w:ascii="Times New Roman" w:hAnsi="Times New Roman" w:eastAsia="SimSun"/>
          <w:b w:val="0"/>
          <w:i w:val="0"/>
          <w:sz w:val="20"/>
        </w:rPr>
        <w:t>[2] J. Bennett, 1988, Events and Their Names, Oxford: Oxford University Press.</w:t>
      </w:r>
    </w:p>
    <w:p>
      <w:pPr>
        <w:spacing w:before="0" w:after="45" w:line="252" w:lineRule="exact"/>
        <w:ind w:left="450" w:leftChars="0" w:hanging="450"/>
        <w:jc w:val="left"/>
      </w:pPr>
      <w:r>
        <w:rPr>
          <w:rFonts w:ascii="Times New Roman" w:hAnsi="Times New Roman" w:eastAsia="SimSun"/>
          <w:b w:val="0"/>
          <w:i w:val="0"/>
          <w:sz w:val="20"/>
        </w:rPr>
        <w:t>[3] L. D. d’Almeida, 2019, “On the legal syllogism”, in D. Plunkett, S. J. Shapiro and C. Toh (eds.), Dimensions of Normativity: New Essays on Metaethics and Jurisprudence, pp. 335–364, New York: Oxford Academic.</w:t>
      </w:r>
    </w:p>
    <w:p>
      <w:pPr>
        <w:spacing w:before="0" w:after="45" w:line="252" w:lineRule="exact"/>
        <w:ind w:left="450" w:leftChars="0" w:hanging="450"/>
        <w:jc w:val="left"/>
      </w:pPr>
      <w:r>
        <w:rPr>
          <w:rFonts w:ascii="Times New Roman" w:hAnsi="Times New Roman" w:eastAsia="SimSun"/>
          <w:b w:val="0"/>
          <w:i w:val="0"/>
          <w:sz w:val="20"/>
        </w:rPr>
        <w:t>[4] A. C. Hastings, 1963, A Reformulation of the Modes of Reasoning in Argumentation, PhD thesis, Northwestern University.</w:t>
      </w:r>
    </w:p>
    <w:p>
      <w:pPr>
        <w:spacing w:before="0" w:after="45" w:line="252" w:lineRule="exact"/>
        <w:ind w:left="450" w:leftChars="0" w:hanging="450"/>
        <w:jc w:val="left"/>
      </w:pPr>
      <w:r>
        <w:rPr>
          <w:rFonts w:ascii="Times New Roman" w:hAnsi="Times New Roman" w:eastAsia="SimSun"/>
          <w:b w:val="0"/>
          <w:i w:val="0"/>
          <w:sz w:val="20"/>
        </w:rPr>
        <w:t>[5] 常思礼，“试释《文心雕龙》中的‘诡’”，中北大学学报（社会科学版），2023 年第3 期，第24–31 页。</w:t>
      </w:r>
    </w:p>
    <w:p>
      <w:pPr>
        <w:spacing w:before="0" w:after="45" w:line="252" w:lineRule="exact"/>
        <w:ind w:left="450" w:leftChars="0" w:hanging="450"/>
        <w:jc w:val="left"/>
      </w:pPr>
      <w:r>
        <w:rPr>
          <w:rFonts w:ascii="Times New Roman" w:hAnsi="Times New Roman" w:eastAsia="SimSun"/>
          <w:b w:val="0"/>
          <w:i w:val="0"/>
          <w:sz w:val="20"/>
        </w:rPr>
        <w:t>[6] 汪奠基，中国逻辑思想史，武汉：武汉大学出版社，2012 年。</w:t>
      </w:r>
    </w:p>
    <w:p>
      <w:pPr>
        <w:spacing w:before="0" w:after="45" w:line="252" w:lineRule="exact"/>
        <w:ind w:left="450" w:leftChars="0" w:hanging="450"/>
        <w:jc w:val="left"/>
      </w:pPr>
      <w:r>
        <w:rPr>
          <w:rFonts w:ascii="Times New Roman" w:hAnsi="Times New Roman" w:eastAsia="SimSun"/>
          <w:b w:val="0"/>
          <w:i w:val="0"/>
          <w:sz w:val="20"/>
        </w:rPr>
        <w:t>[7] P. Bartha, 2019, “Analogy and analogical reasoning”, in E. N. Zalta (ed.), The Stanford Encyclopedia of Philosophy (Spring 2019 Edition), https://plato.stanford.edu/archives/spr2019/entries/reasoning-analogy/.</w:t>
      </w:r>
    </w:p>
    <w:p>
      <w:pPr>
        <w:spacing w:before="0" w:after="45" w:line="252" w:lineRule="exact"/>
        <w:ind w:left="450" w:leftChars="0" w:hanging="450"/>
        <w:jc w:val="left"/>
      </w:pPr>
      <w:r>
        <w:rPr>
          <w:rFonts w:ascii="Times New Roman" w:hAnsi="Times New Roman" w:eastAsia="SimSun"/>
          <w:b w:val="0"/>
          <w:i w:val="0"/>
          <w:sz w:val="20"/>
        </w:rPr>
        <w:t>[8] B. Russell, 1905, “On denoting”, Mind, 14(56): 479–493.</w:t>
      </w:r>
    </w:p>
    <w:p>
      <w:r>
        <w:br w:type="page"/>
      </w:r>
    </w:p>
    <w:p>
      <w:pPr>
        <w:spacing w:before="0" w:after="0" w:line="614" w:lineRule="exact"/>
        <w:ind w:firstLine="0"/>
      </w:pPr>
    </w:p>
    <w:p>
      <w:pPr>
        <w:spacing w:before="0" w:after="0" w:line="416" w:lineRule="exact"/>
        <w:ind w:firstLine="0"/>
        <w:jc w:val="center"/>
      </w:pPr>
      <w:r>
        <w:rPr>
          <w:rFonts w:ascii="Times New Roman" w:hAnsi="Times New Roman" w:eastAsia="SimSun"/>
          <w:b w:val="0"/>
          <w:i w:val="0"/>
          <w:sz w:val="32"/>
        </w:rPr>
        <w:t>中文标题</w:t>
      </w:r>
    </w:p>
    <w:p>
      <w:pPr>
        <w:spacing w:before="392" w:after="0" w:line="312" w:lineRule="exact"/>
        <w:ind w:firstLine="0"/>
        <w:jc w:val="center"/>
      </w:pPr>
      <w:r>
        <w:rPr>
          <w:rFonts w:ascii="Times New Roman" w:hAnsi="Times New Roman" w:eastAsia="KaiTi"/>
          <w:b w:val="0"/>
          <w:i w:val="0"/>
          <w:sz w:val="24"/>
        </w:rPr>
        <w:t>第一作者　第二作者　第三作者</w:t>
      </w:r>
      <w:r>
        <w:rPr>
          <w:rStyle w:val="FootnoteReference"/>
        </w:rPr>
        <w:footnoteReference w:id="5"/>
      </w:r>
    </w:p>
    <w:p>
      <w:pPr>
        <w:spacing w:before="414" w:after="242" w:line="312" w:lineRule="exact"/>
        <w:ind w:firstLine="0"/>
        <w:jc w:val="center"/>
      </w:pPr>
      <w:r>
        <w:rPr>
          <w:rFonts w:ascii="Times New Roman" w:hAnsi="Times New Roman" w:eastAsia="SimHei"/>
          <w:b w:val="0"/>
          <w:i w:val="0"/>
          <w:sz w:val="24"/>
        </w:rPr>
        <w:t>摘　　要</w:t>
      </w:r>
    </w:p>
    <w:p>
      <w:pPr>
        <w:spacing w:before="122" w:after="0" w:line="328" w:lineRule="exact"/>
        <w:ind w:firstLine="420" w:firstLineChars="200"/>
        <w:jc w:val="both"/>
      </w:pPr>
      <w:r>
        <w:rPr>
          <w:rFonts w:ascii="Times New Roman" w:hAnsi="Times New Roman" w:eastAsia="SimSun"/>
          <w:b w:val="0"/>
          <w:i w:val="0"/>
          <w:sz w:val="21"/>
        </w:rPr>
        <w:t>请输入中文摘要。</w:t>
      </w:r>
    </w:p>
    <w:sectPr w:rsidR="00FC693F" w:rsidRPr="0006063C" w:rsidSect="00034616">
      <w:footerReference w:type="default" r:id="rId9"/>
      <w:pgSz w:w="9978" w:h="14173"/>
      <w:pgMar w:top="1604" w:right="1054" w:bottom="1060" w:left="1553" w:header="975"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rPr>
        <w:rFonts w:ascii="Times New Roman" w:hAnsi="Times New Roman" w:eastAsia="SimSun"/>
        <w:sz w:val="18"/>
      </w:rPr>
    </w:pPr>
    <w:fldSimple w:instr=" PAGE ">
      <w:r>
        <w:rPr>
          <w:rFonts w:ascii="Times New Roman" w:hAnsi="Times New Roman" w:eastAsia="SimSun"/>
          <w:sz w:val="18"/>
          <w:szCs w:val="18"/>
        </w:rPr>
        <w:t>1</w:t>
      </w:r>
    </w:fldSimple>
  </w:p>
</w:ftr>
</file>

<file path=word/footnotes.xml><?xml version="1.0" encoding="utf-8"?>
<w:footnotes xmlns:w="http://schemas.openxmlformats.org/wordprocessingml/2006/main">
  <w:footnote w:type="separator" w:id="-1">
    <w:p>
      <w:pPr>
        <w:spacing w:before="0" w:after="0" w:line="240" w:lineRule="auto"/>
      </w:pPr>
      <w:r>
        <w:separator/>
      </w:r>
    </w:p>
  </w:footnote>
  <w:footnote w:type="continuationSeparator" w:id="0">
    <w:p>
      <w:pPr>
        <w:spacing w:before="0" w:after="0" w:line="240" w:lineRule="auto"/>
      </w:pPr>
      <w:r>
        <w:continuationSeparator/>
      </w:r>
    </w:p>
  </w:footnote>
  <w:footnote w:id="1">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San Zhang</w:t>
      </w:r>
      <w:r>
        <w:rPr>
          <w:rFonts w:ascii="Times New Roman" w:hAnsi="Times New Roman" w:eastAsia="Times New Roman"/>
          <w:sz w:val="18"/>
          <w:szCs w:val="18"/>
        </w:rPr>
        <w:t xml:space="preserve">　Department of Philosophy, Example University, E-mail: zhangsan@example.edu</w:t>
      </w:r>
    </w:p>
    <w:p>
      <w:pPr>
        <w:pStyle w:val="FootnoteText"/>
        <w:spacing w:before="0" w:after="0" w:line="227" w:lineRule="exact"/>
        <w:ind w:left="300" w:leftChars="0"/>
      </w:pPr>
      <w:r>
        <w:rPr>
          <w:rFonts w:ascii="Times New Roman" w:hAnsi="Times New Roman" w:eastAsia="Times New Roman"/>
          <w:sz w:val="18"/>
          <w:szCs w:val="18"/>
        </w:rPr>
        <w:t xml:space="preserve">Si Li</w:t>
      </w:r>
      <w:r>
        <w:rPr>
          <w:rFonts w:ascii="Times New Roman" w:hAnsi="Times New Roman" w:eastAsia="Times New Roman"/>
          <w:sz w:val="18"/>
          <w:szCs w:val="18"/>
        </w:rPr>
        <w:t xml:space="preserve">　Department of Philosophy, Example University, E-mail: lisi@example.edu</w:t>
      </w:r>
    </w:p>
    <w:p>
      <w:pPr>
        <w:pStyle w:val="FootnoteText"/>
        <w:spacing w:before="0" w:after="0" w:line="227" w:lineRule="exact"/>
        <w:ind w:left="300" w:leftChars="0"/>
      </w:pPr>
      <w:r>
        <w:rPr>
          <w:rFonts w:ascii="Times New Roman" w:hAnsi="Times New Roman" w:eastAsia="Times New Roman"/>
          <w:sz w:val="18"/>
          <w:szCs w:val="18"/>
        </w:rPr>
        <w:t xml:space="preserve">Wu Wang</w:t>
      </w:r>
      <w:r>
        <w:rPr>
          <w:rFonts w:ascii="Times New Roman" w:hAnsi="Times New Roman" w:eastAsia="Times New Roman"/>
          <w:sz w:val="18"/>
          <w:szCs w:val="18"/>
        </w:rPr>
        <w:t xml:space="preserve">　School of Philosophy, Example University, E-mail: wangwu@example.edu</w:t>
      </w:r>
    </w:p>
    <w:p>
      <w:pPr>
        <w:pStyle w:val="FootnoteText"/>
        <w:spacing w:before="0" w:after="0" w:line="227" w:lineRule="exact"/>
        <w:ind w:left="300" w:leftChars="0"/>
      </w:pPr>
      <w:r>
        <w:rPr>
          <w:rFonts w:ascii="Times New Roman" w:hAnsi="Times New Roman" w:eastAsia="Times New Roman"/>
          <w:sz w:val="18"/>
          <w:szCs w:val="18"/>
        </w:rPr>
        <w:t xml:space="preserve">Acknowledgements: </w:t>
      </w:r>
      <w:r>
        <w:rPr>
          <w:rFonts w:ascii="Times New Roman" w:hAnsi="Times New Roman" w:eastAsia="Times New Roman"/>
          <w:sz w:val="18"/>
          <w:szCs w:val="18"/>
        </w:rPr>
        <w:t xml:space="preserve">Please insert grants/acknowledgements here, or delete this line.</w:t>
      </w:r>
    </w:p>
  </w:footnote>
  <w:footnote w:id="2">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Footnote example: </w:t>
      </w:r>
      <w:r>
        <w:rPr>
          <w:rFonts w:ascii="Times New Roman" w:hAnsi="Times New Roman" w:eastAsia="Times New Roman"/>
          <w:sz w:val="18"/>
          <w:szCs w:val="18"/>
        </w:rPr>
        <w:t xml:space="preserve">explanatory footnotes are placed at the bottom of the page in 9 pt type.</w:t>
      </w:r>
    </w:p>
  </w:footnote>
  <w:footnote w:id="3">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This is a footnote.</w:t>
      </w:r>
    </w:p>
  </w:footnote>
  <w:footnote w:id="4">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This is another footnote.</w:t>
      </w:r>
    </w:p>
  </w:footnote>
  <w:footnote w:id="5">
    <w:p>
      <w:pPr>
        <w:pStyle w:val="FootnoteText"/>
        <w:spacing w:before="0" w:after="0" w:line="227" w:lineRule="exact"/>
        <w:ind w:left="300" w:leftChars="0"/>
      </w:pPr>
      <w:r>
        <w:rPr>
          <w:rStyle w:val="FootnoteReference"/>
        </w:rPr>
        <w:footnoteRef/>
      </w:r>
      <w:r>
        <w:rPr>
          <w:rFonts w:ascii="Times New Roman" w:hAnsi="Times New Roman" w:eastAsia="KaiTi"/>
          <w:sz w:val="18"/>
          <w:szCs w:val="18"/>
        </w:rPr>
        <w:t xml:space="preserve">第一作者</w:t>
      </w:r>
      <w:r>
        <w:rPr>
          <w:rFonts w:ascii="Times New Roman" w:hAnsi="Times New Roman" w:eastAsia="SimSun"/>
          <w:sz w:val="18"/>
          <w:szCs w:val="18"/>
        </w:rPr>
        <w:t xml:space="preserve">　单位一</w:t>
      </w:r>
    </w:p>
    <w:p>
      <w:pPr>
        <w:pStyle w:val="FootnoteText"/>
        <w:spacing w:before="0" w:after="0" w:line="227" w:lineRule="exact"/>
        <w:ind w:left="300" w:leftChars="0"/>
      </w:pPr>
      <w:r>
        <w:rPr>
          <w:rFonts w:ascii="Times New Roman" w:hAnsi="Times New Roman" w:eastAsia="KaiTi"/>
          <w:sz w:val="18"/>
          <w:szCs w:val="18"/>
        </w:rPr>
        <w:t xml:space="preserve">第二作者</w:t>
      </w:r>
      <w:r>
        <w:rPr>
          <w:rFonts w:ascii="Times New Roman" w:hAnsi="Times New Roman" w:eastAsia="SimSun"/>
          <w:sz w:val="18"/>
          <w:szCs w:val="18"/>
        </w:rPr>
        <w:t xml:space="preserve">　单位二</w:t>
      </w:r>
    </w:p>
    <w:p>
      <w:pPr>
        <w:pStyle w:val="FootnoteText"/>
        <w:spacing w:before="0" w:after="0" w:line="227" w:lineRule="exact"/>
        <w:ind w:left="300" w:leftChars="0"/>
      </w:pPr>
      <w:r>
        <w:rPr>
          <w:rFonts w:ascii="Times New Roman" w:hAnsi="Times New Roman" w:eastAsia="KaiTi"/>
          <w:sz w:val="18"/>
          <w:szCs w:val="18"/>
        </w:rPr>
        <w:t xml:space="preserve">第三作者</w:t>
      </w:r>
      <w:r>
        <w:rPr>
          <w:rFonts w:ascii="Times New Roman" w:hAnsi="Times New Roman" w:eastAsia="SimSun"/>
          <w:sz w:val="18"/>
          <w:szCs w:val="18"/>
        </w:rPr>
        <w:t xml:space="preserve">　单位三</w:t>
      </w:r>
    </w:p>
    <w:p>
      <w:pPr>
        <w:pStyle w:val="FootnoteText"/>
        <w:spacing w:before="0" w:after="0" w:line="227" w:lineRule="exact"/>
        <w:ind w:left="300" w:leftChars="0"/>
      </w:pPr>
      <w:r>
        <w:rPr>
          <w:rFonts w:ascii="Times New Roman" w:hAnsi="Times New Roman" w:eastAsia="Times New Roman"/>
          <w:sz w:val="18"/>
          <w:szCs w:val="18"/>
        </w:rPr>
        <w:t xml:space="preserve">xxxx@xxxx.xxx</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mirrorMargi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86" w:lineRule="atLeast"/>
      <w:ind w:firstLine="420"/>
      <w:jc w:val="both"/>
      <w:overflowPunct w:val="0"/>
    </w:pPr>
    <w:rPr>
      <w:rFonts w:ascii="Times New Roman" w:hAnsi="Times New Roman" w:cs="Times New Roman" w:eastAsia="SimSun"/>
      <w:b w:val="0"/>
      <w:sz w:val="22"/>
      <w:lang w:val="en-US" w:eastAsia="en-US"/>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SimSun"/>
      <w:b w:val="0"/>
      <w:sz w:val="18"/>
      <w:lang w:val="en-US" w:eastAsia="zh-C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5" w:after="220" w:line="302" w:lineRule="exact"/>
      <w:ind w:firstLine="0"/>
      <w:jc w:val="left"/>
      <w:outlineLvl w:val="0"/>
    </w:pPr>
    <w:rPr>
      <w:rFonts w:asciiTheme="majorHAnsi" w:eastAsiaTheme="majorEastAsia" w:hAnsiTheme="majorHAnsi" w:cstheme="majorBidi" w:ascii="Times New Roman" w:hAnsi="Times New Roman" w:cs="Times New Roman" w:eastAsia="SimSun"/>
      <w:b/>
      <w:bCs/>
      <w:color w:val="000000"/>
      <w:sz w:val="24"/>
      <w:szCs w:val="28"/>
      <w:lang w:val="en-US" w:eastAsia="en-US"/>
    </w:rPr>
  </w:style>
  <w:style w:type="paragraph" w:styleId="Heading2">
    <w:name w:val="heading 2"/>
    <w:basedOn w:val="Normal"/>
    <w:next w:val="Normal"/>
    <w:link w:val="Heading2Char"/>
    <w:uiPriority w:val="9"/>
    <w:unhideWhenUsed/>
    <w:qFormat/>
    <w:rsid w:val="00FC693F"/>
    <w:pPr>
      <w:keepNext/>
      <w:keepLines/>
      <w:spacing w:before="168" w:after="147" w:line="276" w:lineRule="exact"/>
      <w:ind w:firstLine="0"/>
      <w:jc w:val="left"/>
      <w:outlineLvl w:val="1"/>
    </w:pPr>
    <w:rPr>
      <w:rFonts w:asciiTheme="majorHAnsi" w:eastAsiaTheme="majorEastAsia" w:hAnsiTheme="majorHAnsi" w:cstheme="majorBidi" w:ascii="Times New Roman" w:hAnsi="Times New Roman" w:cs="Times New Roman" w:eastAsia="SimSun"/>
      <w:b/>
      <w:bCs/>
      <w:color w:val="000000"/>
      <w:sz w:val="21"/>
      <w:szCs w:val="26"/>
      <w:lang w:val="en-US" w:eastAsia="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0" w:line="436" w:lineRule="exact" w:before="486"/>
      <w:ind w:firstLine="0"/>
      <w:jc w:val="center"/>
    </w:pPr>
    <w:rPr>
      <w:rFonts w:asciiTheme="majorHAnsi" w:eastAsiaTheme="majorEastAsia" w:hAnsiTheme="majorHAnsi" w:cstheme="majorBidi" w:ascii="Times New Roman" w:hAnsi="Times New Roman" w:cs="Times New Roman" w:eastAsia="SimSun"/>
      <w:b w:val="0"/>
      <w:color w:val="000000"/>
      <w:spacing w:val="5"/>
      <w:kern w:val="28"/>
      <w:sz w:val="35"/>
      <w:szCs w:val="52"/>
      <w:lang w:val="en-US" w:eastAsia="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exact" w:before="120" w:after="120"/>
      <w:ind w:firstLine="0"/>
      <w:jc w:val="center"/>
    </w:pPr>
    <w:rPr>
      <w:rFonts w:ascii="Times New Roman" w:hAnsi="Times New Roman" w:cs="Times New Roman" w:eastAsia="SimSun"/>
      <w:b w:val="0"/>
      <w:bCs/>
      <w:i w:val="0"/>
      <w:color w:val="000000"/>
      <w:sz w:val="22"/>
      <w:szCs w:val="18"/>
      <w:lang w:val="en-US" w:eastAsia="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basedOn w:val="Normal"/>
    <w:pPr>
      <w:spacing w:before="0" w:after="0" w:line="227" w:lineRule="exact"/>
      <w:ind w:firstLine="0"/>
      <w:jc w:val="both"/>
    </w:pPr>
    <w:rPr>
      <w:rFonts w:ascii="Times New Roman" w:hAnsi="Times New Roman" w:cs="Times New Roman" w:eastAsia="SimSun"/>
      <w:b w:val="0"/>
      <w:sz w:val="18"/>
      <w:lang w:val="en-US" w:eastAsia="zh-CN"/>
    </w:rPr>
  </w:style>
  <w:style w:type="character" w:customStyle="1"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Studies in Logic author submission template (English)</dc:title>
  <dc:subject>Author submission template</dc:subject>
  <dc:creator>Studies in Logic Editorial Office</dc:creator>
  <cp:keywords/>
  <dc:description>Placeholder example; contains no real author/manuscript content.</dc:description>
  <cp:lastModifiedBy/>
  <cp:revision>1</cp:revision>
  <dcterms:created xsi:type="dcterms:W3CDTF">2013-12-23T23:15:00Z</dcterms:created>
  <dcterms:modified xsi:type="dcterms:W3CDTF">2013-12-23T23:15:00Z</dcterms:modified>
  <cp:category/>
</cp:coreProperties>
</file>