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10-13 Game Plan</w:t>
      </w:r>
    </w:p>
    <w:p/>
    <w:p>
      <w:r>
        <w:t>Date: 2026-04-05 MDT</w:t>
      </w:r>
    </w:p>
    <w:p>
      <w:r>
        <w:t>Prepared during: Sprint 9 closeout</w:t>
      </w:r>
    </w:p>
    <w:p>
      <w:r>
        <w:t>Purpose: Next four-sprint plan after isolated structured-store promotion and latency profiling</w:t>
      </w:r>
    </w:p>
    <w:p/>
    <w:p>
      <w:pPr>
        <w:spacing w:after="120"/>
      </w:pPr>
    </w:p>
    <w:p/>
    <w:p>
      <w:pPr>
        <w:pStyle w:val="Heading2"/>
      </w:pPr>
      <w:r>
        <w:t>Current-State Summary</w:t>
      </w:r>
    </w:p>
    <w:p/>
    <w:p>
      <w:pPr>
        <w:pStyle w:val="ListBullet"/>
      </w:pPr>
      <w:r>
        <w:t>The isolated Sprint 6 demo store is now dual-path:</w:t>
      </w:r>
    </w:p>
    <w:p>
      <w:pPr>
        <w:pStyle w:val="ListBullet"/>
      </w:pPr>
      <w:r>
        <w:t>vector store populated</w:t>
      </w:r>
    </w:p>
    <w:p>
      <w:pPr>
        <w:pStyle w:val="ListBullet"/>
      </w:pPr>
      <w:r>
        <w:t>structured store partially promoted for the demo-critical subset</w:t>
      </w:r>
    </w:p>
    <w:p>
      <w:pPr>
        <w:pStyle w:val="ListBullet"/>
      </w:pPr>
      <w:r>
        <w:t>Full golden eval now runs end to end on dedicated local Ollama.</w:t>
      </w:r>
    </w:p>
    <w:p>
      <w:pPr>
        <w:pStyle w:val="ListBullet"/>
      </w:pPr>
      <w:r>
        <w:t>The main remaining bottleneck is router latency on local Ollama, not retrieval.</w:t>
      </w:r>
    </w:p>
    <w:p>
      <w:pPr>
        <w:pStyle w:val="ListBullet"/>
      </w:pPr>
      <w:r>
        <w:t>Five golden-query gaps remain:</w:t>
      </w:r>
    </w:p>
    <w:p>
      <w:pPr>
        <w:pStyle w:val="ListBullet"/>
      </w:pPr>
      <w:r>
        <w:t>`GQ-016`</w:t>
      </w:r>
    </w:p>
    <w:p>
      <w:pPr>
        <w:pStyle w:val="ListBullet"/>
      </w:pPr>
      <w:r>
        <w:t>`GQ-017`</w:t>
      </w:r>
    </w:p>
    <w:p>
      <w:pPr>
        <w:pStyle w:val="ListBullet"/>
      </w:pPr>
      <w:r>
        <w:t>`GQ-019`</w:t>
      </w:r>
    </w:p>
    <w:p>
      <w:pPr>
        <w:pStyle w:val="ListBullet"/>
      </w:pPr>
      <w:r>
        <w:t>`GQ-020`</w:t>
      </w:r>
    </w:p>
    <w:p>
      <w:pPr>
        <w:pStyle w:val="ListBullet"/>
      </w:pPr>
      <w:r>
        <w:t>`GQ-023`</w:t>
      </w:r>
    </w:p>
    <w:p/>
    <w:p>
      <w:pPr>
        <w:spacing w:after="120"/>
      </w:pPr>
    </w:p>
    <w:p/>
    <w:p>
      <w:pPr>
        <w:pStyle w:val="Heading2"/>
      </w:pPr>
      <w:r>
        <w:t>Sprint 10: Router Latency Reduction</w:t>
      </w:r>
    </w:p>
    <w:p/>
    <w:p>
      <w:pPr>
        <w:pStyle w:val="Heading3"/>
      </w:pPr>
      <w:r>
        <w:t>Goal</w:t>
      </w:r>
    </w:p>
    <w:p/>
    <w:p>
      <w:r>
        <w:t>Cut warm demo-path latency by reducing or bypassing the expensive local-Ollama router step for high-signal query shapes.</w:t>
      </w:r>
    </w:p>
    <w:p/>
    <w:p>
      <w:pPr>
        <w:pStyle w:val="Heading3"/>
      </w:pPr>
      <w:r>
        <w:t>Work Items</w:t>
      </w:r>
    </w:p>
    <w:p/>
    <w:p>
      <w:pPr>
        <w:pStyle w:val="ListNumber"/>
      </w:pPr>
      <w:r>
        <w:t>Profile router prompts and responses for token volume.</w:t>
      </w:r>
    </w:p>
    <w:p>
      <w:pPr>
        <w:pStyle w:val="ListNumber"/>
      </w:pPr>
      <w:r>
        <w:t>Expand deterministic guards for the most common demo and golden-query patterns.</w:t>
      </w:r>
    </w:p>
    <w:p>
      <w:pPr>
        <w:pStyle w:val="ListNumber"/>
      </w:pPr>
      <w:r>
        <w:t>Add a router-only benchmark so routing latency can be measured independently.</w:t>
      </w:r>
    </w:p>
    <w:p>
      <w:pPr>
        <w:pStyle w:val="ListNumber"/>
      </w:pPr>
      <w:r>
        <w:t>Re-run the demo query pack and compare:</w:t>
      </w:r>
    </w:p>
    <w:p>
      <w:pPr>
        <w:pStyle w:val="ListBullet"/>
      </w:pPr>
      <w:r>
        <w:t>routing correctness</w:t>
      </w:r>
    </w:p>
    <w:p>
      <w:pPr>
        <w:pStyle w:val="ListBullet"/>
      </w:pPr>
      <w:r>
        <w:t>total latency</w:t>
      </w:r>
    </w:p>
    <w:p>
      <w:pPr>
        <w:pStyle w:val="ListBullet"/>
      </w:pPr>
      <w:r>
        <w:t>router-stage latency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Router average latency is materially reduced on the demo query pack.</w:t>
      </w:r>
    </w:p>
    <w:p>
      <w:pPr>
        <w:pStyle w:val="ListBullet"/>
      </w:pPr>
      <w:r>
        <w:t>Routing correctness does not regress on the golden set.</w:t>
      </w:r>
    </w:p>
    <w:p/>
    <w:p>
      <w:pPr>
        <w:spacing w:after="120"/>
      </w:pPr>
    </w:p>
    <w:p/>
    <w:p>
      <w:pPr>
        <w:pStyle w:val="Heading2"/>
      </w:pPr>
      <w:r>
        <w:t>Sprint 11: Retrieval Gap Closure</w:t>
      </w:r>
    </w:p>
    <w:p/>
    <w:p>
      <w:pPr>
        <w:pStyle w:val="Heading3"/>
      </w:pPr>
      <w:r>
        <w:t>Goal</w:t>
      </w:r>
    </w:p>
    <w:p/>
    <w:p>
      <w:r>
        <w:t>Close the five known Sprint 9 gaps without regressing the existing 20/25 retrieval pass rate.</w:t>
      </w:r>
    </w:p>
    <w:p/>
    <w:p>
      <w:pPr>
        <w:pStyle w:val="Heading3"/>
      </w:pPr>
      <w:r>
        <w:t>Work Items</w:t>
      </w:r>
    </w:p>
    <w:p/>
    <w:p>
      <w:pPr>
        <w:pStyle w:val="ListNumber"/>
      </w:pPr>
      <w:r>
        <w:t>Inspect the failing queries and identify whether each miss is:</w:t>
      </w:r>
    </w:p>
    <w:p>
      <w:pPr>
        <w:pStyle w:val="ListBullet"/>
      </w:pPr>
      <w:r>
        <w:t>corpus gap</w:t>
      </w:r>
    </w:p>
    <w:p>
      <w:pPr>
        <w:pStyle w:val="ListBullet"/>
      </w:pPr>
      <w:r>
        <w:t>retrieval issue</w:t>
      </w:r>
    </w:p>
    <w:p>
      <w:pPr>
        <w:pStyle w:val="ListBullet"/>
      </w:pPr>
      <w:r>
        <w:t>routing issue</w:t>
      </w:r>
    </w:p>
    <w:p>
      <w:pPr>
        <w:pStyle w:val="ListBullet"/>
      </w:pPr>
      <w:r>
        <w:t>structured-store gap</w:t>
      </w:r>
    </w:p>
    <w:p>
      <w:pPr>
        <w:pStyle w:val="ListNumber"/>
      </w:pPr>
      <w:r>
        <w:t>Promote any missing structured facts needed for:</w:t>
      </w:r>
    </w:p>
    <w:p>
      <w:pPr>
        <w:pStyle w:val="ListBullet"/>
      </w:pPr>
      <w:r>
        <w:t>Mike Torres contact email</w:t>
      </w:r>
    </w:p>
    <w:p>
      <w:pPr>
        <w:pStyle w:val="ListBullet"/>
      </w:pPr>
      <w:r>
        <w:t>AB-115 site distribution</w:t>
      </w:r>
    </w:p>
    <w:p>
      <w:pPr>
        <w:pStyle w:val="ListBullet"/>
      </w:pPr>
      <w:r>
        <w:t>cancelled purchase orders and reasons</w:t>
      </w:r>
    </w:p>
    <w:p>
      <w:pPr>
        <w:pStyle w:val="ListBullet"/>
      </w:pPr>
      <w:r>
        <w:t>cross-corpus unique part rollups</w:t>
      </w:r>
    </w:p>
    <w:p>
      <w:pPr>
        <w:pStyle w:val="ListNumber"/>
      </w:pPr>
      <w:r>
        <w:t>Add query-specific regression probes for the five failing IDs.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The five named queries improve or are explicitly explained by corpus limits.</w:t>
      </w:r>
    </w:p>
    <w:p>
      <w:pPr>
        <w:pStyle w:val="ListBullet"/>
      </w:pPr>
      <w:r>
        <w:t>Retrieval pass rate improves beyond the current `20/25`.</w:t>
      </w:r>
    </w:p>
    <w:p/>
    <w:p>
      <w:pPr>
        <w:spacing w:after="120"/>
      </w:pPr>
    </w:p>
    <w:p/>
    <w:p>
      <w:pPr>
        <w:pStyle w:val="Heading2"/>
      </w:pPr>
      <w:r>
        <w:t>Sprint 12: Full Structured Promotion</w:t>
      </w:r>
    </w:p>
    <w:p/>
    <w:p>
      <w:pPr>
        <w:pStyle w:val="Heading3"/>
      </w:pPr>
      <w:r>
        <w:t>Goal</w:t>
      </w:r>
    </w:p>
    <w:p/>
    <w:p>
      <w:r>
        <w:t>Move from demo-critical structured extraction to a broader isolated-store promotion with repeatable index and store hygiene.</w:t>
      </w:r>
    </w:p>
    <w:p/>
    <w:p>
      <w:pPr>
        <w:pStyle w:val="Heading3"/>
      </w:pPr>
      <w:r>
        <w:t>Work Items</w:t>
      </w:r>
    </w:p>
    <w:p/>
    <w:p>
      <w:pPr>
        <w:pStyle w:val="ListNumber"/>
      </w:pPr>
      <w:r>
        <w:t>Expand extraction coverage beyond the current 11-chunk subset.</w:t>
      </w:r>
    </w:p>
    <w:p>
      <w:pPr>
        <w:pStyle w:val="ListNumber"/>
      </w:pPr>
      <w:r>
        <w:t>Add a controlled promotion checklist for:</w:t>
      </w:r>
    </w:p>
    <w:p>
      <w:pPr>
        <w:pStyle w:val="ListBullet"/>
      </w:pPr>
      <w:r>
        <w:t>chunk-source selection</w:t>
      </w:r>
    </w:p>
    <w:p>
      <w:pPr>
        <w:pStyle w:val="ListBullet"/>
      </w:pPr>
      <w:r>
        <w:t>extraction run</w:t>
      </w:r>
    </w:p>
    <w:p>
      <w:pPr>
        <w:pStyle w:val="ListBullet"/>
      </w:pPr>
      <w:r>
        <w:t>entity/relationship/table counts</w:t>
      </w:r>
    </w:p>
    <w:p>
      <w:pPr>
        <w:pStyle w:val="ListBullet"/>
      </w:pPr>
      <w:r>
        <w:t>rerun idempotency</w:t>
      </w:r>
    </w:p>
    <w:p>
      <w:pPr>
        <w:pStyle w:val="ListNumber"/>
      </w:pPr>
      <w:r>
        <w:t>Validate that structured queries improve on the larger promoted slice.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Structured store is promoted on a materially larger source slice.</w:t>
      </w:r>
    </w:p>
    <w:p>
      <w:pPr>
        <w:pStyle w:val="ListBullet"/>
      </w:pPr>
      <w:r>
        <w:t>Idempotent reruns are documented and verified.</w:t>
      </w:r>
    </w:p>
    <w:p/>
    <w:p>
      <w:pPr>
        <w:spacing w:after="120"/>
      </w:pPr>
    </w:p>
    <w:p/>
    <w:p>
      <w:pPr>
        <w:pStyle w:val="Heading2"/>
      </w:pPr>
      <w:r>
        <w:t>Sprint 13: Demo Endpoint Decision And Deployment Path</w:t>
      </w:r>
    </w:p>
    <w:p/>
    <w:p>
      <w:pPr>
        <w:pStyle w:val="Heading3"/>
      </w:pPr>
      <w:r>
        <w:t>Goal</w:t>
      </w:r>
    </w:p>
    <w:p/>
    <w:p>
      <w:r>
        <w:t>Make the final call on demo serving architecture and prove the chosen path is launchable and supportable.</w:t>
      </w:r>
    </w:p>
    <w:p/>
    <w:p>
      <w:pPr>
        <w:pStyle w:val="Heading3"/>
      </w:pPr>
      <w:r>
        <w:t>Work Items</w:t>
      </w:r>
    </w:p>
    <w:p/>
    <w:p>
      <w:pPr>
        <w:pStyle w:val="ListNumber"/>
      </w:pPr>
      <w:r>
        <w:t>Compare dedicated local Ollama against a commercial/Azure endpoint for:</w:t>
      </w:r>
    </w:p>
    <w:p>
      <w:pPr>
        <w:pStyle w:val="ListBullet"/>
      </w:pPr>
      <w:r>
        <w:t>latency</w:t>
      </w:r>
    </w:p>
    <w:p>
      <w:pPr>
        <w:pStyle w:val="ListBullet"/>
      </w:pPr>
      <w:r>
        <w:t>routing stability</w:t>
      </w:r>
    </w:p>
    <w:p>
      <w:pPr>
        <w:pStyle w:val="ListBullet"/>
      </w:pPr>
      <w:r>
        <w:t>generation quality</w:t>
      </w:r>
    </w:p>
    <w:p>
      <w:pPr>
        <w:pStyle w:val="ListBullet"/>
      </w:pPr>
      <w:r>
        <w:t>operator complexity</w:t>
      </w:r>
    </w:p>
    <w:p>
      <w:pPr>
        <w:pStyle w:val="ListNumber"/>
      </w:pPr>
      <w:r>
        <w:t>Refresh wheel bundles for the promoted build.</w:t>
      </w:r>
    </w:p>
    <w:p>
      <w:pPr>
        <w:pStyle w:val="ListNumber"/>
      </w:pPr>
      <w:r>
        <w:t>Update operator docs for the selected demo path.</w:t>
      </w:r>
    </w:p>
    <w:p>
      <w:pPr>
        <w:pStyle w:val="ListNumber"/>
      </w:pPr>
      <w:r>
        <w:t>Add a smoke-gate command that a non-author can run before a live demo.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A single demo-serving recommendation is documented.</w:t>
      </w:r>
    </w:p>
    <w:p>
      <w:pPr>
        <w:pStyle w:val="ListBullet"/>
      </w:pPr>
      <w:r>
        <w:t>The chosen path has a repeatable startup and smoke-check flow.</w:t>
      </w:r>
    </w:p>
    <w:p/>
    <w:p>
      <w:pPr>
        <w:spacing w:after="120"/>
      </w:pPr>
    </w:p>
    <w:p/>
    <w:p>
      <w:pPr>
        <w:pStyle w:val="Heading2"/>
      </w:pPr>
      <w:r>
        <w:t>Guiding Principle</w:t>
      </w:r>
    </w:p>
    <w:p/>
    <w:p>
      <w:r>
        <w:t>Do not spend more time on prompt cosmetics while router latency remains the dominant cost center. The data now says the next wins are architectural:</w:t>
      </w:r>
    </w:p>
    <w:p/>
    <w:p>
      <w:pPr>
        <w:pStyle w:val="ListBullet"/>
      </w:pPr>
      <w:r>
        <w:t>cheaper routing</w:t>
      </w:r>
    </w:p>
    <w:p>
      <w:pPr>
        <w:pStyle w:val="ListBullet"/>
      </w:pPr>
      <w:r>
        <w:t>broader structured coverage</w:t>
      </w:r>
    </w:p>
    <w:p>
      <w:pPr>
        <w:pStyle w:val="ListBullet"/>
      </w:pPr>
      <w:r>
        <w:t>explicit endpoint choice for demo use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